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Playfair Display" w:hAnsi="Playfair Display"/>
          <w:b/>
          <w:color w:val="17231F"/>
          <w:sz w:val="52"/>
        </w:rPr>
        <w:t>TÀI LIỆU HƯỚNG DẪN SỬ DỤNG</w:t>
      </w:r>
    </w:p>
    <w:p>
      <w:pPr>
        <w:spacing w:after="3600"/>
        <w:jc w:val="center"/>
      </w:pPr>
      <w:r>
        <w:rPr>
          <w:rFonts w:ascii="Be Vietnam Pro" w:hAnsi="Be Vietnam Pro"/>
          <w:i/>
          <w:color w:val="3E6E64"/>
          <w:sz w:val="26"/>
        </w:rPr>
        <w:t>Hệ Thống Quản Lý Cư Dân &amp; Vận Hành Khu Đô Thị Monolith</w:t>
        <w:br/>
        <w:t>Bản hướng dẫn chi tiết kèm hình ảnh thực tế từ hệ thống v1.6</w:t>
      </w:r>
    </w:p>
    <w:p>
      <w:pPr>
        <w:spacing w:after="240"/>
        <w:jc w:val="center"/>
      </w:pPr>
      <w:r>
        <w:rPr>
          <w:rFonts w:ascii="Be Vietnam Pro" w:hAnsi="Be Vietnam Pro"/>
          <w:color w:val="17231F"/>
          <w:sz w:val="22"/>
        </w:rPr>
        <w:t>Phát triển bởi: Ban Điều Hành Monolith</w:t>
        <w:br/>
        <w:t>Áp dụng cho: Giao Diện Quản Trị &amp; Cổng Cư Dân</w:t>
      </w:r>
    </w:p>
    <w:p>
      <w:r>
        <w:br w:type="page"/>
      </w:r>
    </w:p>
    <w:p>
      <w:pPr>
        <w:keepNext/>
        <w:spacing w:before="240" w:after="120"/>
      </w:pPr>
      <w:r>
        <w:rPr>
          <w:rFonts w:ascii="Playfair Display" w:hAnsi="Playfair Display"/>
          <w:b/>
          <w:color w:val="17231F"/>
          <w:sz w:val="40"/>
        </w:rPr>
        <w:t>CHƯƠNG I: TỔNG QUAN HỆ THỐNG &amp; NGUYÊN TẮC VẬN HÀNH</w:t>
      </w:r>
    </w:p>
    <w:p>
      <w:pPr>
        <w:spacing w:after="120" w:line="276" w:lineRule="auto"/>
      </w:pPr>
      <w:r>
        <w:rPr>
          <w:rFonts w:ascii="Be Vietnam Pro" w:hAnsi="Be Vietnam Pro"/>
          <w:b/>
          <w:color w:val="17231F"/>
          <w:sz w:val="22"/>
        </w:rPr>
        <w:t>Hệ thống Quản lý Cư dân Monolith</w:t>
      </w:r>
      <w:r>
        <w:rPr>
          <w:rFonts w:ascii="Be Vietnam Pro" w:hAnsi="Be Vietnam Pro"/>
          <w:i w:val="0"/>
          <w:color w:val="17231F"/>
          <w:sz w:val="22"/>
        </w:rPr>
        <w:t xml:space="preserve"> là hệ thống quản trị monolith toàn diện phục vụ quản lý kinh doanh, pháp lý, tài chính và dịch vụ kỹ thuật cho khu đô thị.</w:t>
      </w:r>
    </w:p>
    <w:p>
      <w:pPr>
        <w:keepNext/>
        <w:spacing w:before="240" w:after="120"/>
      </w:pPr>
      <w:r>
        <w:rPr>
          <w:rFonts w:ascii="Playfair Display" w:hAnsi="Playfair Display"/>
          <w:b/>
          <w:color w:val="3E6E64"/>
          <w:sz w:val="30"/>
        </w:rPr>
        <w:t>1. Phân Quyền Theo Vai Trò (RBAC)</w:t>
      </w:r>
    </w:p>
    <w:p>
      <w:pPr>
        <w:spacing w:after="120" w:line="276" w:lineRule="auto"/>
      </w:pPr>
      <w:r>
        <w:rPr>
          <w:rFonts w:ascii="Be Vietnam Pro" w:hAnsi="Be Vietnam Pro"/>
          <w:i w:val="0"/>
          <w:color w:val="17231F"/>
          <w:sz w:val="22"/>
        </w:rPr>
        <w:t>Hệ thống tuân thủ chặt chẽ nguyên tắc RBAC (Role-Based Access Control). Toàn bộ người dùng được phân chia thành 17 vai trò cụ thể nhằm phân định rõ nhiệm vụ và bảo vệ dữ liệu nhạy cảm.</w:t>
      </w:r>
    </w:p>
    <w:tbl>
      <w:tblPr>
        <w:tblStyle w:val="LightShading-Accent1"/>
        <w:tblW w:type="auto" w:w="0"/>
        <w:tblLook w:firstColumn="1" w:firstRow="1" w:lastColumn="0" w:lastRow="0" w:noHBand="0" w:noVBand="1" w:val="04A0"/>
      </w:tblPr>
      <w:tblGrid>
        <w:gridCol w:w="3120"/>
        <w:gridCol w:w="3120"/>
        <w:gridCol w:w="3120"/>
      </w:tblGrid>
      <w:tr>
        <w:tc>
          <w:tcPr>
            <w:tcW w:type="dxa" w:w="3120"/>
            <w:shd w:fill="3E6E64"/>
            <w:tcMar>
              <w:top w:w="100" w:type="dxa"/>
              <w:bottom w:w="100" w:type="dxa"/>
              <w:left w:w="150" w:type="dxa"/>
              <w:right w:w="150" w:type="dxa"/>
            </w:tcMar>
          </w:tcPr>
          <w:p>
            <w:r>
              <w:rPr>
                <w:b/>
                <w:color w:val="FFFFFF"/>
              </w:rPr>
              <w:t>Mã Vai Trò</w:t>
            </w:r>
          </w:p>
        </w:tc>
        <w:tc>
          <w:tcPr>
            <w:tcW w:type="dxa" w:w="3120"/>
            <w:shd w:fill="3E6E64"/>
            <w:tcMar>
              <w:top w:w="100" w:type="dxa"/>
              <w:bottom w:w="100" w:type="dxa"/>
              <w:left w:w="150" w:type="dxa"/>
              <w:right w:w="150" w:type="dxa"/>
            </w:tcMar>
          </w:tcPr>
          <w:p>
            <w:r>
              <w:rPr>
                <w:b/>
                <w:color w:val="FFFFFF"/>
              </w:rPr>
              <w:t>Tên Vai Trò</w:t>
            </w:r>
          </w:p>
        </w:tc>
        <w:tc>
          <w:tcPr>
            <w:tcW w:type="dxa" w:w="3120"/>
            <w:shd w:fill="3E6E64"/>
            <w:tcMar>
              <w:top w:w="100" w:type="dxa"/>
              <w:bottom w:w="100" w:type="dxa"/>
              <w:left w:w="150" w:type="dxa"/>
              <w:right w:w="150" w:type="dxa"/>
            </w:tcMar>
          </w:tcPr>
          <w:p>
            <w:r>
              <w:rPr>
                <w:b/>
                <w:color w:val="FFFFFF"/>
              </w:rPr>
              <w:t>Nhiệm Vụ &amp; Quyền Hạn Cốt Lõi</w:t>
            </w:r>
          </w:p>
        </w:tc>
      </w:tr>
      <w:tr>
        <w:tc>
          <w:tcPr>
            <w:tcW w:type="dxa" w:w="3120"/>
            <w:shd w:fill="F2F3EF"/>
            <w:tcMar>
              <w:top w:w="100" w:type="dxa"/>
              <w:bottom w:w="100" w:type="dxa"/>
              <w:left w:w="150" w:type="dxa"/>
              <w:right w:w="150" w:type="dxa"/>
            </w:tcMar>
          </w:tcPr>
          <w:p>
            <w:r>
              <w:t>ADMIN</w:t>
            </w:r>
          </w:p>
        </w:tc>
        <w:tc>
          <w:tcPr>
            <w:tcW w:type="dxa" w:w="3120"/>
            <w:shd w:fill="F2F3EF"/>
            <w:tcMar>
              <w:top w:w="100" w:type="dxa"/>
              <w:bottom w:w="100" w:type="dxa"/>
              <w:left w:w="150" w:type="dxa"/>
              <w:right w:w="150" w:type="dxa"/>
            </w:tcMar>
          </w:tcPr>
          <w:p>
            <w:r>
              <w:t>Quản trị hệ thống</w:t>
            </w:r>
          </w:p>
        </w:tc>
        <w:tc>
          <w:tcPr>
            <w:tcW w:type="dxa" w:w="3120"/>
            <w:shd w:fill="F2F3EF"/>
            <w:tcMar>
              <w:top w:w="100" w:type="dxa"/>
              <w:bottom w:w="100" w:type="dxa"/>
              <w:left w:w="150" w:type="dxa"/>
              <w:right w:w="150" w:type="dxa"/>
            </w:tcMar>
          </w:tcPr>
          <w:p>
            <w:r>
              <w:t>Cấu hình, phân quyền nhân viên, số hóa chứng từ, cài đặt API tích hợp.</w:t>
            </w:r>
          </w:p>
        </w:tc>
      </w:tr>
      <w:tr>
        <w:tc>
          <w:tcPr>
            <w:tcW w:type="dxa" w:w="3120"/>
            <w:shd w:fill="FFFFFF"/>
            <w:tcMar>
              <w:top w:w="100" w:type="dxa"/>
              <w:bottom w:w="100" w:type="dxa"/>
              <w:left w:w="150" w:type="dxa"/>
              <w:right w:w="150" w:type="dxa"/>
            </w:tcMar>
          </w:tcPr>
          <w:p>
            <w:r>
              <w:t>DIR / SM</w:t>
            </w:r>
          </w:p>
        </w:tc>
        <w:tc>
          <w:tcPr>
            <w:tcW w:type="dxa" w:w="3120"/>
            <w:shd w:fill="FFFFFF"/>
            <w:tcMar>
              <w:top w:w="100" w:type="dxa"/>
              <w:bottom w:w="100" w:type="dxa"/>
              <w:left w:w="150" w:type="dxa"/>
              <w:right w:w="150" w:type="dxa"/>
            </w:tcMar>
          </w:tcPr>
          <w:p>
            <w:r>
              <w:t>Ban Giám Đốc</w:t>
            </w:r>
          </w:p>
        </w:tc>
        <w:tc>
          <w:tcPr>
            <w:tcW w:type="dxa" w:w="3120"/>
            <w:shd w:fill="FFFFFF"/>
            <w:tcMar>
              <w:top w:w="100" w:type="dxa"/>
              <w:bottom w:w="100" w:type="dxa"/>
              <w:left w:w="150" w:type="dxa"/>
              <w:right w:w="150" w:type="dxa"/>
            </w:tcMar>
          </w:tcPr>
          <w:p>
            <w:r>
              <w:t>Duyệt hợp đồng, phê duyệt chiết khấu/ưu đãi vượt hạn mức (&gt;5%), xem báo cáo.</w:t>
            </w:r>
          </w:p>
        </w:tc>
      </w:tr>
      <w:tr>
        <w:tc>
          <w:tcPr>
            <w:tcW w:type="dxa" w:w="3120"/>
            <w:shd w:fill="F2F3EF"/>
            <w:tcMar>
              <w:top w:w="100" w:type="dxa"/>
              <w:bottom w:w="100" w:type="dxa"/>
              <w:left w:w="150" w:type="dxa"/>
              <w:right w:w="150" w:type="dxa"/>
            </w:tcMar>
          </w:tcPr>
          <w:p>
            <w:r>
              <w:t>SHEAD / SALE</w:t>
            </w:r>
          </w:p>
        </w:tc>
        <w:tc>
          <w:tcPr>
            <w:tcW w:type="dxa" w:w="3120"/>
            <w:shd w:fill="F2F3EF"/>
            <w:tcMar>
              <w:top w:w="100" w:type="dxa"/>
              <w:bottom w:w="100" w:type="dxa"/>
              <w:left w:w="150" w:type="dxa"/>
              <w:right w:w="150" w:type="dxa"/>
            </w:tcMar>
          </w:tcPr>
          <w:p>
            <w:r>
              <w:t>Đại diện kinh doanh</w:t>
            </w:r>
          </w:p>
        </w:tc>
        <w:tc>
          <w:tcPr>
            <w:tcW w:type="dxa" w:w="3120"/>
            <w:shd w:fill="F2F3EF"/>
            <w:tcMar>
              <w:top w:w="100" w:type="dxa"/>
              <w:bottom w:w="100" w:type="dxa"/>
              <w:left w:w="150" w:type="dxa"/>
              <w:right w:w="150" w:type="dxa"/>
            </w:tcMar>
          </w:tcPr>
          <w:p>
            <w:r>
              <w:t>Quản lý Leads, Cart, giữ chỗ, lập hợp đồng mua bán HĐMB, chiết khấu nội bộ.</w:t>
            </w:r>
          </w:p>
        </w:tc>
      </w:tr>
      <w:tr>
        <w:tc>
          <w:tcPr>
            <w:tcW w:type="dxa" w:w="3120"/>
            <w:shd w:fill="FFFFFF"/>
            <w:tcMar>
              <w:top w:w="100" w:type="dxa"/>
              <w:bottom w:w="100" w:type="dxa"/>
              <w:left w:w="150" w:type="dxa"/>
              <w:right w:w="150" w:type="dxa"/>
            </w:tcMar>
          </w:tcPr>
          <w:p>
            <w:r>
              <w:t>PMS-BILL / ACC-S</w:t>
            </w:r>
          </w:p>
        </w:tc>
        <w:tc>
          <w:tcPr>
            <w:tcW w:type="dxa" w:w="3120"/>
            <w:shd w:fill="FFFFFF"/>
            <w:tcMar>
              <w:top w:w="100" w:type="dxa"/>
              <w:bottom w:w="100" w:type="dxa"/>
              <w:left w:w="150" w:type="dxa"/>
              <w:right w:w="150" w:type="dxa"/>
            </w:tcMar>
          </w:tcPr>
          <w:p>
            <w:r>
              <w:t>Kế toán dịch vụ / bán hàng</w:t>
            </w:r>
          </w:p>
        </w:tc>
        <w:tc>
          <w:tcPr>
            <w:tcW w:type="dxa" w:w="3120"/>
            <w:shd w:fill="FFFFFF"/>
            <w:tcMar>
              <w:top w:w="100" w:type="dxa"/>
              <w:bottom w:w="100" w:type="dxa"/>
              <w:left w:w="150" w:type="dxa"/>
              <w:right w:w="150" w:type="dxa"/>
            </w:tcMar>
          </w:tcPr>
          <w:p>
            <w:r>
              <w:t>Chốt công tơ, tính phí dịch vụ, hóa đơn tổng hợp, tích hợp SePay &amp; VNPT Invoice.</w:t>
            </w:r>
          </w:p>
        </w:tc>
      </w:tr>
      <w:tr>
        <w:tc>
          <w:tcPr>
            <w:tcW w:type="dxa" w:w="3120"/>
            <w:shd w:fill="F2F3EF"/>
            <w:tcMar>
              <w:top w:w="100" w:type="dxa"/>
              <w:bottom w:w="100" w:type="dxa"/>
              <w:left w:w="150" w:type="dxa"/>
              <w:right w:w="150" w:type="dxa"/>
            </w:tcMar>
          </w:tcPr>
          <w:p>
            <w:r>
              <w:t>PMS-TECH / TECH</w:t>
            </w:r>
          </w:p>
        </w:tc>
        <w:tc>
          <w:tcPr>
            <w:tcW w:type="dxa" w:w="3120"/>
            <w:shd w:fill="F2F3EF"/>
            <w:tcMar>
              <w:top w:w="100" w:type="dxa"/>
              <w:bottom w:w="100" w:type="dxa"/>
              <w:left w:w="150" w:type="dxa"/>
              <w:right w:w="150" w:type="dxa"/>
            </w:tcMar>
          </w:tcPr>
          <w:p>
            <w:r>
              <w:t>Kỹ thuật / Bảo trì</w:t>
            </w:r>
          </w:p>
        </w:tc>
        <w:tc>
          <w:tcPr>
            <w:tcW w:type="dxa" w:w="3120"/>
            <w:shd w:fill="F2F3EF"/>
            <w:tcMar>
              <w:top w:w="100" w:type="dxa"/>
              <w:bottom w:w="100" w:type="dxa"/>
              <w:left w:w="150" w:type="dxa"/>
              <w:right w:w="150" w:type="dxa"/>
            </w:tcMar>
          </w:tcPr>
          <w:p>
            <w:r>
              <w:t>Xử lý phản ánh cư dân, CMMS, ghi chỉ số công tơ di động hỗ trợ bởi AI.</w:t>
            </w:r>
          </w:p>
        </w:tc>
      </w:tr>
    </w:tbl>
    <w:p>
      <w:pPr>
        <w:spacing w:after="240"/>
      </w:pPr>
    </w:p>
    <w:p>
      <w:pPr>
        <w:keepNext/>
        <w:spacing w:before="240" w:after="120"/>
      </w:pPr>
      <w:r>
        <w:rPr>
          <w:rFonts w:ascii="Playfair Display" w:hAnsi="Playfair Display"/>
          <w:b/>
          <w:color w:val="3E6E64"/>
          <w:sz w:val="30"/>
        </w:rPr>
        <w:t>2. Nguyên Tắc Tách Biệt Nhiệm Vụ (Segregation of Duties - SoD)</w:t>
      </w:r>
    </w:p>
    <w:p>
      <w:pPr>
        <w:spacing w:after="120" w:line="276" w:lineRule="auto"/>
      </w:pPr>
      <w:r>
        <w:rPr>
          <w:rFonts w:ascii="Be Vietnam Pro" w:hAnsi="Be Vietnam Pro"/>
          <w:i w:val="0"/>
          <w:color w:val="17231F"/>
          <w:sz w:val="22"/>
        </w:rPr>
        <w:t>Nhằm chống gian lận và sai sót nghiệp vụ, hệ thống cưỡng chế SoD cứng tại tầng ứng dụng:</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Người chốt số công tơ điện nước không được đồng thời là người chốt kỳ thu phí.</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Nhân viên Sales lập phiếu đặt chỗ không có quyền tự phê duyệt giảm giá vượt hạn mức.</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Người lập phiếu đề xuất hoàn tiền cọc không được là người duyệt lệnh chi tiền.</w:t>
      </w:r>
    </w:p>
    <w:p>
      <w:pPr>
        <w:keepNext/>
        <w:spacing w:before="240" w:after="120"/>
      </w:pPr>
      <w:r>
        <w:rPr>
          <w:rFonts w:ascii="Playfair Display" w:hAnsi="Playfair Display"/>
          <w:b/>
          <w:color w:val="3E6E64"/>
          <w:sz w:val="30"/>
        </w:rPr>
        <w:t>3. Hai Luồng Đăng Nhập Riêng Biệt</w:t>
      </w:r>
    </w:p>
    <w:p>
      <w:pPr>
        <w:spacing w:after="120" w:line="276" w:lineRule="auto"/>
      </w:pPr>
      <w:r>
        <w:rPr>
          <w:rFonts w:ascii="Be Vietnam Pro" w:hAnsi="Be Vietnam Pro"/>
          <w:i w:val="0"/>
          <w:color w:val="17231F"/>
          <w:sz w:val="22"/>
        </w:rPr>
        <w:t>Hệ thống bảo vệ nghiêm ngặt bằng hai cổng đăng nhập riêng biệt hoàn toàn:</w:t>
      </w:r>
    </w:p>
    <w:p>
      <w:pPr>
        <w:spacing w:after="120" w:line="276" w:lineRule="auto"/>
      </w:pPr>
      <w:r>
        <w:rPr>
          <w:rFonts w:ascii="Be Vietnam Pro" w:hAnsi="Be Vietnam Pro"/>
          <w:b/>
          <w:color w:val="17231F"/>
          <w:sz w:val="22"/>
        </w:rPr>
        <w:t xml:space="preserve">Cổng Quản trị Admin: </w:t>
      </w:r>
      <w:r>
        <w:rPr>
          <w:rFonts w:ascii="Be Vietnam Pro" w:hAnsi="Be Vietnam Pro"/>
          <w:i w:val="0"/>
          <w:color w:val="17231F"/>
          <w:sz w:val="22"/>
        </w:rPr>
        <w:t>Dành cho nhân viên vận hành, kế toán, kỹ thuật và quản trị viên.</w:t>
      </w:r>
    </w:p>
    <w:p>
      <w:pPr>
        <w:spacing w:before="160" w:after="8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10-admin-login.png"/>
                    <pic:cNvPicPr/>
                  </pic:nvPicPr>
                  <pic:blipFill>
                    <a:blip r:embed="rId9"/>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1.1 — Giao diện đăng nhập hệ thống quản trị nội bộ</w:t>
      </w:r>
    </w:p>
    <w:p>
      <w:pPr>
        <w:spacing w:after="120" w:line="276" w:lineRule="auto"/>
      </w:pPr>
      <w:r>
        <w:rPr>
          <w:rFonts w:ascii="Be Vietnam Pro" w:hAnsi="Be Vietnam Pro"/>
          <w:b/>
          <w:color w:val="17231F"/>
          <w:sz w:val="22"/>
        </w:rPr>
        <w:t xml:space="preserve">Cổng Cư dân (Resident Portal): </w:t>
      </w:r>
      <w:r>
        <w:rPr>
          <w:rFonts w:ascii="Be Vietnam Pro" w:hAnsi="Be Vietnam Pro"/>
          <w:i w:val="0"/>
          <w:color w:val="17231F"/>
          <w:sz w:val="22"/>
        </w:rPr>
        <w:t>Dành riêng cho cư dân truy cập qua Số điện thoại di động đăng ký.</w:t>
      </w:r>
    </w:p>
    <w:p>
      <w:pPr>
        <w:spacing w:before="160" w:after="8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01-resident-login.png"/>
                    <pic:cNvPicPr/>
                  </pic:nvPicPr>
                  <pic:blipFill>
                    <a:blip r:embed="rId10"/>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1.2 — Giao diện đăng nhập cổng thông tin cư dân</w:t>
      </w:r>
    </w:p>
    <w:p>
      <w:r>
        <w:br w:type="page"/>
      </w:r>
    </w:p>
    <w:p>
      <w:pPr>
        <w:keepNext/>
        <w:spacing w:before="240" w:after="120"/>
      </w:pPr>
      <w:r>
        <w:rPr>
          <w:rFonts w:ascii="Playfair Display" w:hAnsi="Playfair Display"/>
          <w:b/>
          <w:color w:val="17231F"/>
          <w:sz w:val="40"/>
        </w:rPr>
        <w:t>CHƯƠNG II: HƯỚNG DẪN CHI TIẾT CÁC TRANG QUẢN TRỊ (ADMIN)</w:t>
      </w:r>
    </w:p>
    <w:p>
      <w:pPr>
        <w:keepNext/>
        <w:spacing w:before="240" w:after="120"/>
      </w:pPr>
      <w:r>
        <w:rPr>
          <w:rFonts w:ascii="Playfair Display" w:hAnsi="Playfair Display"/>
          <w:b/>
          <w:color w:val="3E6E64"/>
          <w:sz w:val="30"/>
        </w:rPr>
        <w:t>1. Trang Bảng Điều Khiển (Dashboard)</w:t>
      </w:r>
    </w:p>
    <w:p>
      <w:pPr>
        <w:spacing w:after="120" w:line="276" w:lineRule="auto"/>
      </w:pPr>
      <w:r>
        <w:rPr>
          <w:rFonts w:ascii="Be Vietnam Pro" w:hAnsi="Be Vietnam Pro"/>
          <w:b/>
          <w:color w:val="17231F"/>
          <w:sz w:val="22"/>
        </w:rPr>
        <w:t>Giao diện Bảng Điều Khiển</w:t>
      </w:r>
      <w:r>
        <w:rPr>
          <w:rFonts w:ascii="Be Vietnam Pro" w:hAnsi="Be Vietnam Pro"/>
          <w:i w:val="0"/>
          <w:color w:val="17231F"/>
          <w:sz w:val="22"/>
        </w:rPr>
        <w:t xml:space="preserve"> hiển thị bức tranh toàn cảnh về hoạt động kinh doanh và vận hành KĐT.</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Chỉ số Tổng quan: Gồm 4 thẻ chỉ số chính với màu sắc Quiet Luxury đặc trưng: Doanh thu ký kết, Tỷ lệ lấp đầy (nổi bật), Tổng số cư dân, và Phản ánh đang chờ xử lý.</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Bộ lọc nhanh: Hỗ trợ lọc tức thì theo Phân khu (CANTATA, TESLA, DA_VINCI) và khoảng thời gian.</w:t>
      </w:r>
    </w:p>
    <w:p>
      <w:pPr>
        <w:spacing w:before="160" w:after="8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11-admin-dashboard.png"/>
                    <pic:cNvPicPr/>
                  </pic:nvPicPr>
                  <pic:blipFill>
                    <a:blip r:embed="rId11"/>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2.1 — Bảng điều khiển tổng quan quản trị</w:t>
      </w:r>
    </w:p>
    <w:p>
      <w:pPr>
        <w:keepNext/>
        <w:spacing w:before="240" w:after="120"/>
      </w:pPr>
      <w:r>
        <w:rPr>
          <w:rFonts w:ascii="Playfair Display" w:hAnsi="Playfair Display"/>
          <w:b/>
          <w:color w:val="3E6E64"/>
          <w:sz w:val="30"/>
        </w:rPr>
        <w:t>2. Phân Hệ Căn Hộ (Apartment Inventory)</w:t>
      </w:r>
    </w:p>
    <w:p>
      <w:pPr>
        <w:spacing w:after="120" w:line="276" w:lineRule="auto"/>
      </w:pPr>
      <w:r>
        <w:rPr>
          <w:rFonts w:ascii="Be Vietnam Pro" w:hAnsi="Be Vietnam Pro"/>
          <w:i w:val="0"/>
          <w:color w:val="17231F"/>
          <w:sz w:val="22"/>
        </w:rPr>
        <w:t>Danh sách căn hộ hỗ trợ Chế độ xem Thẻ (Card Inventory - chuẩn Monolith Units) trực quan:</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Mỗi thẻ thể hiện mã căn hộ, tầng, diện tích, phân khu và trạng thái bàn giao (badge Đã bàn giao / Chưa bàn giao).</w:t>
      </w:r>
    </w:p>
    <w:p>
      <w:pPr>
        <w:spacing w:before="160" w:after="8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21-admin-CnH.png"/>
                    <pic:cNvPicPr/>
                  </pic:nvPicPr>
                  <pic:blipFill>
                    <a:blip r:embed="rId12"/>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2.2 — Danh sách căn hộ dạng lưới (Card Inventory)</w:t>
      </w:r>
    </w:p>
    <w:p>
      <w:pPr>
        <w:keepNext/>
        <w:spacing w:before="240" w:after="120"/>
      </w:pPr>
      <w:r>
        <w:rPr>
          <w:rFonts w:ascii="Playfair Display" w:hAnsi="Playfair Display"/>
          <w:b/>
          <w:color w:val="3E6E64"/>
          <w:sz w:val="30"/>
        </w:rPr>
        <w:t>3. Phân Hệ Cư Dân (Residents &amp; Accounts)</w:t>
      </w:r>
    </w:p>
    <w:p>
      <w:pPr>
        <w:spacing w:after="120" w:line="276" w:lineRule="auto"/>
      </w:pPr>
      <w:r>
        <w:rPr>
          <w:rFonts w:ascii="Be Vietnam Pro" w:hAnsi="Be Vietnam Pro"/>
          <w:i w:val="0"/>
          <w:color w:val="17231F"/>
          <w:sz w:val="22"/>
        </w:rPr>
        <w:t>Quản lý hồ sơ cư dân và định danh căn hộ:</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Mỗi cư dân có mã số định danh riêng, liên kết với căn hộ qua vai trò cư trú (Chủ hộ, Thành viên, Người thuê).</w:t>
      </w:r>
    </w:p>
    <w:p>
      <w:pPr>
        <w:spacing w:before="160" w:after="8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21-admin-CDn.png"/>
                    <pic:cNvPicPr/>
                  </pic:nvPicPr>
                  <pic:blipFill>
                    <a:blip r:embed="rId13"/>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2.3 — Phân hệ quản lý thông tin cư dân</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Tài khoản cổng cư dân: Quản trị viên có thể xem Danh sách tài khoản cư dân, Reset mật khẩu về mặc định (Abc@12345), và xem Ma trận phân quyền (Read-only, vai trò RESIDENT) để đảm bảo tính minh bạch.</w:t>
      </w:r>
    </w:p>
    <w:p>
      <w:pPr>
        <w:spacing w:before="160" w:after="8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15-admin-permission-matrix.png"/>
                    <pic:cNvPicPr/>
                  </pic:nvPicPr>
                  <pic:blipFill>
                    <a:blip r:embed="rId14"/>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2.4 — Ma trận kiểm tra chi tiết quyền cư dân</w:t>
      </w:r>
    </w:p>
    <w:p>
      <w:pPr>
        <w:keepNext/>
        <w:spacing w:before="240" w:after="120"/>
      </w:pPr>
      <w:r>
        <w:rPr>
          <w:rFonts w:ascii="Playfair Display" w:hAnsi="Playfair Display"/>
          <w:b/>
          <w:color w:val="3E6E64"/>
          <w:sz w:val="30"/>
        </w:rPr>
        <w:t>4. Quản Lý Chỉ Số Điện Nước (Utility Metering)</w:t>
      </w:r>
    </w:p>
    <w:p>
      <w:pPr>
        <w:spacing w:after="120" w:line="276" w:lineRule="auto"/>
      </w:pPr>
      <w:r>
        <w:rPr>
          <w:rFonts w:ascii="Be Vietnam Pro" w:hAnsi="Be Vietnam Pro"/>
          <w:i w:val="0"/>
          <w:color w:val="17231F"/>
          <w:sz w:val="22"/>
        </w:rPr>
        <w:t>Hệ thống hỗ trợ 2 phương thức ghi chỉ số:</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Ghi chỉ số thủ công: Nhập trực tiếp chỉ số đầu/cuối của kỳ trên giao diện quản trị.</w:t>
      </w:r>
    </w:p>
    <w:p>
      <w:pPr>
        <w:spacing w:before="160" w:after="80"/>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21-admin-QunLinNc.png"/>
                    <pic:cNvPicPr/>
                  </pic:nvPicPr>
                  <pic:blipFill>
                    <a:blip r:embed="rId15"/>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2.5 — Quản lý công tơ và hóa đơn điện nước</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Ghi chỉ số di động bằng AI (Technician Meter): Kỹ thuật viên dùng điện thoại chụp ảnh công tơ thực tế. Mô-đun AI quét ảnh, tự động nhận diện chỉ số bằng OCR và điền vào form, giúp tăng 95% độ chính xác.</w:t>
      </w:r>
    </w:p>
    <w:p>
      <w:pPr>
        <w:spacing w:before="160" w:after="80"/>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22-admin-GhiChSMobile.png"/>
                    <pic:cNvPicPr/>
                  </pic:nvPicPr>
                  <pic:blipFill>
                    <a:blip r:embed="rId16"/>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2.6 — Ghi chỉ số di động với camera AI hỗ trợ OCR</w:t>
      </w:r>
    </w:p>
    <w:p>
      <w:pPr>
        <w:keepNext/>
        <w:spacing w:before="240" w:after="120"/>
      </w:pPr>
      <w:r>
        <w:rPr>
          <w:rFonts w:ascii="Playfair Display" w:hAnsi="Playfair Display"/>
          <w:b/>
          <w:color w:val="3E6E64"/>
          <w:sz w:val="30"/>
        </w:rPr>
        <w:t>5. Hóa Đơn Tổng Hợp &amp; Đối Soát (Unified Billing &amp; Reconcile)</w:t>
      </w:r>
    </w:p>
    <w:p>
      <w:pPr>
        <w:spacing w:after="120" w:line="276" w:lineRule="auto"/>
      </w:pPr>
      <w:r>
        <w:rPr>
          <w:rFonts w:ascii="Be Vietnam Pro" w:hAnsi="Be Vietnam Pro"/>
          <w:i w:val="0"/>
          <w:color w:val="17231F"/>
          <w:sz w:val="22"/>
        </w:rPr>
        <w:t>Quy trình khép kín tự động hóa luồng tiền dịch vụ:</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Chốt kỳ phí: Hệ thống tổng hợp phí dịch vụ quản lý căn hộ và tiền điện nước thành một hóa đơn tổng hợp duy nhất hàng tháng.</w:t>
      </w:r>
    </w:p>
    <w:p>
      <w:pPr>
        <w:spacing w:before="160" w:after="80"/>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21-admin-HanTngHp.png"/>
                    <pic:cNvPicPr/>
                  </pic:nvPicPr>
                  <pic:blipFill>
                    <a:blip r:embed="rId17"/>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2.7 — Quản lý kỳ phí và lập hóa đơn tổng hợp</w:t>
      </w:r>
    </w:p>
    <w:p>
      <w:pPr>
        <w:keepNext/>
        <w:spacing w:before="240" w:after="120"/>
      </w:pPr>
      <w:r>
        <w:rPr>
          <w:rFonts w:ascii="Playfair Display" w:hAnsi="Playfair Display"/>
          <w:b/>
          <w:color w:val="3E6E64"/>
          <w:sz w:val="30"/>
        </w:rPr>
        <w:t>6. Quản Lý Tiện Ích Chung (Amenities Management)</w:t>
      </w:r>
    </w:p>
    <w:p>
      <w:pPr>
        <w:spacing w:after="120" w:line="276" w:lineRule="auto"/>
      </w:pPr>
      <w:r>
        <w:rPr>
          <w:rFonts w:ascii="Be Vietnam Pro" w:hAnsi="Be Vietnam Pro"/>
          <w:i w:val="0"/>
          <w:color w:val="17231F"/>
          <w:sz w:val="22"/>
        </w:rPr>
        <w:t>Kiểm soát lịch đặt chỗ các khu vực Gym, Hồ bơi, Karaoke, BBQ, Tennis...:</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Cấu hình giới hạn: Đặt số lượt đặt tối đa trên ngày/tuần của từng căn hộ để tránh chiếm dụng.</w:t>
      </w:r>
    </w:p>
    <w:p>
      <w:pPr>
        <w:spacing w:before="160" w:after="80"/>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21-admin-Tinch.png"/>
                    <pic:cNvPicPr/>
                  </pic:nvPicPr>
                  <pic:blipFill>
                    <a:blip r:embed="rId18"/>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2.8 — Danh sách đặt chỗ tiện ích chung</w:t>
      </w:r>
    </w:p>
    <w:p>
      <w:pPr>
        <w:keepNext/>
        <w:spacing w:before="240" w:after="120"/>
      </w:pPr>
      <w:r>
        <w:rPr>
          <w:rFonts w:ascii="Playfair Display" w:hAnsi="Playfair Display"/>
          <w:b/>
          <w:color w:val="3E6E64"/>
          <w:sz w:val="30"/>
        </w:rPr>
        <w:t>7. Quản Lý Đăng Ký Thi Công (Construction &amp; Fitout)</w:t>
      </w:r>
    </w:p>
    <w:p>
      <w:pPr>
        <w:spacing w:after="120" w:line="276" w:lineRule="auto"/>
      </w:pPr>
      <w:r>
        <w:rPr>
          <w:rFonts w:ascii="Be Vietnam Pro" w:hAnsi="Be Vietnam Pro"/>
          <w:i w:val="0"/>
          <w:color w:val="17231F"/>
          <w:sz w:val="22"/>
        </w:rPr>
        <w:t>Dành cho hoạt động cải tạo, sửa chữa căn hộ:</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Hồ sơ thi công: Tiếp nhận bản vẽ thiết kế, danh sách công nhân, thời gian thi công.</w:t>
      </w:r>
    </w:p>
    <w:p>
      <w:pPr>
        <w:spacing w:before="160" w:after="80"/>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22-admin-ThiCong.png"/>
                    <pic:cNvPicPr/>
                  </pic:nvPicPr>
                  <pic:blipFill>
                    <a:blip r:embed="rId19"/>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2.9 — Danh sách đăng ký sửa chữa cải tạo căn hộ</w:t>
      </w:r>
    </w:p>
    <w:p>
      <w:pPr>
        <w:keepNext/>
        <w:spacing w:before="240" w:after="120"/>
      </w:pPr>
      <w:r>
        <w:rPr>
          <w:rFonts w:ascii="Playfair Display" w:hAnsi="Playfair Display"/>
          <w:b/>
          <w:color w:val="3E6E64"/>
          <w:sz w:val="30"/>
        </w:rPr>
        <w:t>8. Phân Hệ Kinh Doanh &amp; CRM (Sales &amp; Contract Lifecycle)</w:t>
      </w:r>
    </w:p>
    <w:p>
      <w:pPr>
        <w:spacing w:after="120" w:line="276" w:lineRule="auto"/>
      </w:pPr>
      <w:r>
        <w:rPr>
          <w:rFonts w:ascii="Be Vietnam Pro" w:hAnsi="Be Vietnam Pro"/>
          <w:i w:val="0"/>
          <w:color w:val="17231F"/>
          <w:sz w:val="22"/>
        </w:rPr>
        <w:t>Quy trình bán hàng khép kín từ Lead đến HĐMB:</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Sales Matrix: Bản đồ giỏ hàng bất động sản theo thời gian thực (Trống, Đã giữ chỗ, Đã cọc, Đã ký HĐMB).</w:t>
      </w:r>
    </w:p>
    <w:p>
      <w:pPr>
        <w:spacing w:before="160" w:after="80"/>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21-admin-KinhDoanhCRM.png"/>
                    <pic:cNvPicPr/>
                  </pic:nvPicPr>
                  <pic:blipFill>
                    <a:blip r:embed="rId20"/>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2.10 — Phân hệ quản lý bán hàng CRM</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Báo cáo &amp; KPI Bán hàng (B.10): Biểu đồ phễu chuyển đổi (Leads -&gt; Bookings -&gt; Deposits -&gt; Contracts -&gt; Handovers) và bảng đánh giá KPI nhân viên kinh doanh, hỗ trợ xuất báo cáo Excel chuẩn E.3/E.4.</w:t>
      </w:r>
    </w:p>
    <w:p>
      <w:pPr>
        <w:spacing w:before="160" w:after="80"/>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22-admin-BoCoKPIiuHnh.png"/>
                    <pic:cNvPicPr/>
                  </pic:nvPicPr>
                  <pic:blipFill>
                    <a:blip r:embed="rId21"/>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2.11 — Báo cáo phân tích KPI điều hành</w:t>
      </w:r>
    </w:p>
    <w:p>
      <w:r>
        <w:br w:type="page"/>
      </w:r>
    </w:p>
    <w:p>
      <w:pPr>
        <w:keepNext/>
        <w:spacing w:before="240" w:after="120"/>
      </w:pPr>
      <w:r>
        <w:rPr>
          <w:rFonts w:ascii="Playfair Display" w:hAnsi="Playfair Display"/>
          <w:b/>
          <w:color w:val="17231F"/>
          <w:sz w:val="40"/>
        </w:rPr>
        <w:t>CHƯƠNG III: HƯỚNG DẪN CỔNG THÔNG TIN CƯ DÂN (RESIDENT PORTAL)</w:t>
      </w:r>
    </w:p>
    <w:p>
      <w:pPr>
        <w:keepNext/>
        <w:spacing w:before="240" w:after="120"/>
      </w:pPr>
      <w:r>
        <w:rPr>
          <w:rFonts w:ascii="Playfair Display" w:hAnsi="Playfair Display"/>
          <w:b/>
          <w:color w:val="3E6E64"/>
          <w:sz w:val="30"/>
        </w:rPr>
        <w:t>1. Đăng Nhập &amp; Welcome Wizard</w:t>
      </w:r>
    </w:p>
    <w:p>
      <w:pPr>
        <w:spacing w:after="120" w:line="276" w:lineRule="auto"/>
      </w:pPr>
      <w:r>
        <w:rPr>
          <w:rFonts w:ascii="Be Vietnam Pro" w:hAnsi="Be Vietnam Pro"/>
          <w:i w:val="0"/>
          <w:color w:val="17231F"/>
          <w:sz w:val="22"/>
        </w:rPr>
        <w:t>Cư dân đăng nhập bằng Số Điện Thoại và Mật Khẩu mặc định (hoặc mật khẩu cá nhân đã đổi).</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Chọn Căn hộ: Với trường hợp một cư dân (một SĐT) sở hữu hoặc thuê nhiều căn hộ trong KĐT, hệ thống hiển thị màn hình Wizard chào mừng để cư dân chọn căn hộ muốn thao tác tại phiên làm việc đó.</w:t>
      </w:r>
    </w:p>
    <w:p>
      <w:pPr>
        <w:spacing w:before="160" w:after="80"/>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02-resident-portal-onboard.png"/>
                    <pic:cNvPicPr/>
                  </pic:nvPicPr>
                  <pic:blipFill>
                    <a:blip r:embed="rId22"/>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3.1 — Wizard chào mừng cư dân đăng nhập lần đầu</w:t>
      </w:r>
    </w:p>
    <w:p>
      <w:pPr>
        <w:keepNext/>
        <w:spacing w:before="240" w:after="120"/>
      </w:pPr>
      <w:r>
        <w:rPr>
          <w:rFonts w:ascii="Playfair Display" w:hAnsi="Playfair Display"/>
          <w:b/>
          <w:color w:val="3E6E64"/>
          <w:sz w:val="30"/>
        </w:rPr>
        <w:t>2. Giao Diện Cổng Cư Dân Tổng Quan</w:t>
      </w:r>
    </w:p>
    <w:p>
      <w:pPr>
        <w:spacing w:after="120" w:line="276" w:lineRule="auto"/>
      </w:pPr>
      <w:r>
        <w:rPr>
          <w:rFonts w:ascii="Be Vietnam Pro" w:hAnsi="Be Vietnam Pro"/>
          <w:i w:val="0"/>
          <w:color w:val="17231F"/>
          <w:sz w:val="22"/>
        </w:rPr>
        <w:t>Sau khi chọn căn hộ, cư dân vào trang chủ Dashboard tổng hợp thông báo, tin tức và truy cập nhanh các dịch vụ:</w:t>
      </w:r>
    </w:p>
    <w:p>
      <w:pPr>
        <w:spacing w:before="160" w:after="80"/>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03-resident-tongquan.png"/>
                    <pic:cNvPicPr/>
                  </pic:nvPicPr>
                  <pic:blipFill>
                    <a:blip r:embed="rId23"/>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3.2 — Dashboard trang chủ Cổng thông tin cư dân</w:t>
      </w:r>
    </w:p>
    <w:p>
      <w:pPr>
        <w:keepNext/>
        <w:spacing w:before="240" w:after="120"/>
      </w:pPr>
      <w:r>
        <w:rPr>
          <w:rFonts w:ascii="Playfair Display" w:hAnsi="Playfair Display"/>
          <w:b/>
          <w:color w:val="3E6E64"/>
          <w:sz w:val="30"/>
        </w:rPr>
        <w:t>3. Hóa Đơn &amp; Thanh Toán Trực Tuyến</w:t>
      </w:r>
    </w:p>
    <w:p>
      <w:pPr>
        <w:spacing w:after="120" w:line="276" w:lineRule="auto"/>
      </w:pPr>
      <w:r>
        <w:rPr>
          <w:rFonts w:ascii="Be Vietnam Pro" w:hAnsi="Be Vietnam Pro"/>
          <w:i w:val="0"/>
          <w:color w:val="17231F"/>
          <w:sz w:val="22"/>
        </w:rPr>
        <w:t>Cư dân theo dõi và thực hiện nghĩa vụ tài chính dễ dàng:</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VietQR động: Nhấp Thanh toán để hệ thống tự sinh mã QR chứa đầy đủ số tiền và cú pháp chuyển khoản chính xác tuyệt đối. Cư dân quét mã qua ứng dụng ngân hàng để hoàn tất nộp phí tức thì.</w:t>
      </w:r>
    </w:p>
    <w:p>
      <w:pPr>
        <w:spacing w:before="160" w:after="80"/>
        <w:jc w:val="center"/>
      </w:pPr>
      <w:r>
        <w:drawing>
          <wp:inline xmlns:a="http://schemas.openxmlformats.org/drawingml/2006/main" xmlns:pic="http://schemas.openxmlformats.org/drawingml/2006/picture">
            <wp:extent cx="5029200" cy="3352800"/>
            <wp:docPr id="16" name="Picture 16"/>
            <wp:cNvGraphicFramePr>
              <a:graphicFrameLocks noChangeAspect="1"/>
            </wp:cNvGraphicFramePr>
            <a:graphic>
              <a:graphicData uri="http://schemas.openxmlformats.org/drawingml/2006/picture">
                <pic:pic>
                  <pic:nvPicPr>
                    <pic:cNvPr id="0" name="04-res-HanTngHp.png"/>
                    <pic:cNvPicPr/>
                  </pic:nvPicPr>
                  <pic:blipFill>
                    <a:blip r:embed="rId24"/>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3.3 — Trang xem hóa đơn tổng hợp của cư dân</w:t>
      </w:r>
    </w:p>
    <w:p>
      <w:pPr>
        <w:keepNext/>
        <w:spacing w:before="240" w:after="120"/>
      </w:pPr>
      <w:r>
        <w:rPr>
          <w:rFonts w:ascii="Playfair Display" w:hAnsi="Playfair Display"/>
          <w:b/>
          <w:color w:val="3E6E64"/>
          <w:sz w:val="30"/>
        </w:rPr>
        <w:t>4. Đặt Lịch Tiện Ích Tự Phục Vụ (Amenity Booking)</w:t>
      </w:r>
    </w:p>
    <w:p>
      <w:pPr>
        <w:spacing w:after="120" w:line="276" w:lineRule="auto"/>
      </w:pPr>
      <w:r>
        <w:rPr>
          <w:rFonts w:ascii="Be Vietnam Pro" w:hAnsi="Be Vietnam Pro"/>
          <w:i w:val="0"/>
          <w:color w:val="17231F"/>
          <w:sz w:val="22"/>
        </w:rPr>
        <w:t>Cư dân tự đặt lịch sử dụng các dịch vụ chung:</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Đặt chỗ: Chọn dịch vụ, chọn khung giờ trống và xác nhận đặt.</w:t>
      </w:r>
    </w:p>
    <w:p>
      <w:pPr>
        <w:spacing w:before="160" w:after="80"/>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05-res-ngKTinch.png"/>
                    <pic:cNvPicPr/>
                  </pic:nvPicPr>
                  <pic:blipFill>
                    <a:blip r:embed="rId25"/>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3.4 — Giao diện tự đặt lịch dịch vụ của cư dân</w:t>
      </w:r>
    </w:p>
    <w:p>
      <w:pPr>
        <w:keepNext/>
        <w:spacing w:before="240" w:after="120"/>
      </w:pPr>
      <w:r>
        <w:rPr>
          <w:rFonts w:ascii="Playfair Display" w:hAnsi="Playfair Display"/>
          <w:b/>
          <w:color w:val="3E6E64"/>
          <w:sz w:val="30"/>
        </w:rPr>
        <w:t>5. Gửi Phản Ánh &amp; Ý Kiến Đóng Góp</w:t>
      </w:r>
    </w:p>
    <w:p>
      <w:pPr>
        <w:spacing w:after="120" w:line="276" w:lineRule="auto"/>
      </w:pPr>
      <w:r>
        <w:rPr>
          <w:rFonts w:ascii="Be Vietnam Pro" w:hAnsi="Be Vietnam Pro"/>
          <w:i w:val="0"/>
          <w:color w:val="17231F"/>
          <w:sz w:val="22"/>
        </w:rPr>
        <w:t>Cư dân gửi ý kiến phản ánh tới Ban quản lý:</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Thao tác: Tạo ticket mới, chọn phân loại (Kỹ thuật, An ninh, Vệ sinh...), viết mô tả và đính kèm hình ảnh thực tế.</w:t>
      </w:r>
    </w:p>
    <w:p>
      <w:pPr>
        <w:spacing w:before="160" w:after="80"/>
        <w:jc w:val="center"/>
      </w:pPr>
      <w:r>
        <w:drawing>
          <wp:inline xmlns:a="http://schemas.openxmlformats.org/drawingml/2006/main" xmlns:pic="http://schemas.openxmlformats.org/drawingml/2006/picture">
            <wp:extent cx="5029200" cy="3352800"/>
            <wp:docPr id="18" name="Picture 18"/>
            <wp:cNvGraphicFramePr>
              <a:graphicFrameLocks noChangeAspect="1"/>
            </wp:cNvGraphicFramePr>
            <a:graphic>
              <a:graphicData uri="http://schemas.openxmlformats.org/drawingml/2006/picture">
                <pic:pic>
                  <pic:nvPicPr>
                    <pic:cNvPr id="0" name="05-res-Phnnh.png"/>
                    <pic:cNvPicPr/>
                  </pic:nvPicPr>
                  <pic:blipFill>
                    <a:blip r:embed="rId26"/>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3.5 — Lịch sử gửi phản ánh và tiến độ giải quyết</w:t>
      </w:r>
    </w:p>
    <w:p>
      <w:pPr>
        <w:keepNext/>
        <w:spacing w:before="240" w:after="120"/>
      </w:pPr>
      <w:r>
        <w:rPr>
          <w:rFonts w:ascii="Playfair Display" w:hAnsi="Playfair Display"/>
          <w:b/>
          <w:color w:val="3E6E64"/>
          <w:sz w:val="30"/>
        </w:rPr>
        <w:t>6. Đăng Ký Thẻ Xe &amp; Cải Tạo Sửa Chữa</w:t>
      </w:r>
    </w:p>
    <w:p>
      <w:pPr>
        <w:spacing w:after="120" w:line="276" w:lineRule="auto"/>
      </w:pPr>
      <w:r>
        <w:rPr>
          <w:rFonts w:ascii="Be Vietnam Pro" w:hAnsi="Be Vietnam Pro"/>
          <w:i w:val="0"/>
          <w:color w:val="17231F"/>
          <w:sz w:val="22"/>
        </w:rPr>
        <w:t>Các dịch vụ đăng ký điện tử khác:</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Thẻ xe: Cư dân khai báo biển số và tải ảnh giấy tờ xe trực tuyến.</w:t>
      </w:r>
    </w:p>
    <w:p>
      <w:pPr>
        <w:spacing w:before="160" w:after="80"/>
        <w:jc w:val="center"/>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05-res-ThXePhngTin.png"/>
                    <pic:cNvPicPr/>
                  </pic:nvPicPr>
                  <pic:blipFill>
                    <a:blip r:embed="rId27"/>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3.6 — Đăng ký thẻ xe phương tiện cư dân</w:t>
      </w:r>
    </w:p>
    <w:p>
      <w:pPr>
        <w:spacing w:after="120" w:line="276" w:lineRule="auto"/>
      </w:pPr>
      <w:r>
        <w:rPr>
          <w:rFonts w:ascii="Be Vietnam Pro" w:hAnsi="Be Vietnam Pro"/>
          <w:b/>
          <w:color w:val="17231F"/>
          <w:sz w:val="22"/>
        </w:rPr>
        <w:t xml:space="preserve">• </w:t>
      </w:r>
      <w:r>
        <w:rPr>
          <w:rFonts w:ascii="Be Vietnam Pro" w:hAnsi="Be Vietnam Pro"/>
          <w:i w:val="0"/>
          <w:color w:val="17231F"/>
          <w:sz w:val="22"/>
        </w:rPr>
        <w:t>Đăng ký thi công: Gửi hồ sơ sửa chữa, hoàn thiện căn hộ.</w:t>
      </w:r>
    </w:p>
    <w:p>
      <w:pPr>
        <w:spacing w:before="160" w:after="80"/>
        <w:jc w:val="center"/>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05-res-ngKCiTo.png"/>
                    <pic:cNvPicPr/>
                  </pic:nvPicPr>
                  <pic:blipFill>
                    <a:blip r:embed="rId28"/>
                    <a:stretch>
                      <a:fillRect/>
                    </a:stretch>
                  </pic:blipFill>
                  <pic:spPr>
                    <a:xfrm>
                      <a:off x="0" y="0"/>
                      <a:ext cx="5029200" cy="3352800"/>
                    </a:xfrm>
                    <a:prstGeom prst="rect"/>
                  </pic:spPr>
                </pic:pic>
              </a:graphicData>
            </a:graphic>
          </wp:inline>
        </w:drawing>
      </w:r>
    </w:p>
    <w:p>
      <w:pPr>
        <w:spacing w:after="240"/>
        <w:jc w:val="center"/>
      </w:pPr>
      <w:r>
        <w:rPr>
          <w:rFonts w:ascii="Be Vietnam Pro" w:hAnsi="Be Vietnam Pro"/>
          <w:i/>
          <w:color w:val="6E6FDF"/>
          <w:sz w:val="19"/>
        </w:rPr>
        <w:t>Hình 3.7 — Đăng ký sửa chữa cải tạo và đặt cọc thi công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