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5B6672"/>
          <w:sz w:val="22"/>
          <w:szCs w:val="22"/>
        </w:rPr>
        <w:t xml:space="preserve">PROYECTO APT · FASE 1</w:t>
      </w:r>
    </w:p>
    <w:p>
      <w:pPr>
        <w:spacing w:after="100" w:before="200"/>
        <w:jc w:val="center"/>
      </w:pPr>
      <w:r>
        <w:rPr>
          <w:rFonts w:ascii="Cambria" w:cs="Cambria" w:eastAsia="Cambria" w:hAnsi="Cambria"/>
          <w:b/>
          <w:bCs/>
          <w:color w:val="1F3A5F"/>
          <w:sz w:val="44"/>
          <w:szCs w:val="44"/>
        </w:rPr>
        <w:t xml:space="preserve">Documento de Requerimientos de Software</w:t>
      </w:r>
    </w:p>
    <w:p>
      <w:pPr>
        <w:spacing w:after="300"/>
        <w:jc w:val="center"/>
      </w:pPr>
      <w:r>
        <w:rPr>
          <w:rFonts w:ascii="Cambria" w:cs="Cambria" w:eastAsia="Cambria" w:hAnsi="Cambria"/>
          <w:b/>
          <w:bCs/>
          <w:color w:val="16283F"/>
          <w:sz w:val="30"/>
          <w:szCs w:val="30"/>
        </w:rPr>
        <w:t xml:space="preserve">(SRS Simplificado)</w:t>
      </w:r>
    </w:p>
    <w:p>
      <w:pPr>
        <w:spacing w:after="600"/>
        <w:jc w:val="center"/>
      </w:pPr>
      <w:r>
        <w:rPr>
          <w:rFonts w:ascii="Cambria" w:cs="Cambria" w:eastAsia="Cambria" w:hAnsi="Cambria"/>
          <w:b/>
          <w:bCs/>
          <w:color w:val="9C3B3B"/>
          <w:sz w:val="34"/>
          <w:szCs w:val="34"/>
        </w:rPr>
        <w:t xml:space="preserve">PerfumeTrending</w:t>
      </w:r>
    </w:p>
    <w:p>
      <w:pPr>
        <w:spacing w:after="900"/>
        <w:jc w:val="center"/>
      </w:pPr>
      <w:r>
        <w:rPr>
          <w:rFonts w:ascii="Calibri" w:cs="Calibri" w:eastAsia="Calibri" w:hAnsi="Calibri"/>
          <w:i/>
          <w:iCs/>
          <w:color w:val="5B6672"/>
          <w:sz w:val="22"/>
          <w:szCs w:val="22"/>
        </w:rPr>
        <w:t xml:space="preserve">Plataforma web de comparación de precios, confianza de tiendas y tendencias
para el mercado chileno de perfumería</w:t>
      </w:r>
    </w:p>
    <w:p>
      <w:pPr>
        <w:spacing w:after="40" w:before="900"/>
        <w:jc w:val="center"/>
      </w:pPr>
      <w:r>
        <w:rPr>
          <w:rFonts w:ascii="Calibri" w:cs="Calibri" w:eastAsia="Calibri" w:hAnsi="Calibri"/>
          <w:color w:val="222222"/>
          <w:sz w:val="21"/>
          <w:szCs w:val="21"/>
        </w:rPr>
        <w:t xml:space="preserve">Integrantes: Benjamín Espinoza · Diego Medina · Alonso Moreno</w:t>
      </w:r>
    </w:p>
    <w:p>
      <w:pPr>
        <w:spacing w:after="40"/>
        <w:jc w:val="center"/>
      </w:pPr>
      <w:r>
        <w:rPr>
          <w:rFonts w:ascii="Calibri" w:cs="Calibri" w:eastAsia="Calibri" w:hAnsi="Calibri"/>
          <w:color w:val="222222"/>
          <w:sz w:val="21"/>
          <w:szCs w:val="21"/>
        </w:rPr>
        <w:t xml:space="preserve">Ingeniería en Informática — Duoc UC, Sede San Joaquín</w:t>
      </w:r>
    </w:p>
    <w:p>
      <w:pPr>
        <w:spacing w:after="40"/>
        <w:jc w:val="center"/>
      </w:pPr>
      <w:r>
        <w:rPr>
          <w:rFonts w:ascii="Calibri" w:cs="Calibri" w:eastAsia="Calibri" w:hAnsi="Calibri"/>
          <w:color w:val="222222"/>
          <w:sz w:val="21"/>
          <w:szCs w:val="21"/>
        </w:rPr>
        <w:t xml:space="preserve">Santiago de Chile, septiembre de 2026</w:t>
      </w:r>
    </w:p>
    <w:p>
      <w:pPr>
        <w:spacing w:after="40"/>
        <w:jc w:val="center"/>
      </w:pPr>
      <w:r>
        <w:rPr>
          <w:rFonts w:ascii="Calibri" w:cs="Calibri" w:eastAsia="Calibri" w:hAnsi="Calibri"/>
          <w:color w:val="222222"/>
          <w:sz w:val="21"/>
          <w:szCs w:val="21"/>
        </w:rPr>
        <w:t xml:space="preserve">Versión 1.0</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Documentos relacionados</w:t>
      </w:r>
    </w:p>
    <w:p>
      <w:pPr>
        <w:spacing w:after="160" w:line="276"/>
        <w:jc w:val="both"/>
      </w:pPr>
      <w:r>
        <w:rPr>
          <w:rFonts w:ascii="Calibri" w:cs="Calibri" w:eastAsia="Calibri" w:hAnsi="Calibri"/>
          <w:b w:val="false"/>
          <w:bCs w:val="false"/>
          <w:i w:val="false"/>
          <w:iCs w:val="false"/>
          <w:color w:val="222222"/>
          <w:sz w:val="21"/>
          <w:szCs w:val="21"/>
        </w:rPr>
        <w:t xml:space="preserve">Este documento forma parte del enfoque tradicional (Cascada) definido para el Proyecto APT y corresponde al primer entregable de la secuencia documental: (1) Documento de Requerimientos — el presente documento —, (2) Documento de Diseño, (3) Plan de Pruebas y Evidencias, y (4) Manual Técnico / Despliegue. Se complementa además con la Guía del Estudiante Fase 1 (Definición de Proyecto APT), la Carta Gantt, el análisis de Ruta Crítica (CPM) y la presentación de Fase 1 ya desarrollados por el equipo.</w:t>
      </w:r>
    </w:p>
    <w:p>
      <w:pPr>
        <w:pStyle w:val="Heading1"/>
        <w:pBdr>
          <w:bottom w:val="single" w:color="1F3A5F" w:sz="8" w:space="4"/>
        </w:pBdr>
        <w:spacing w:after="160" w:before="380"/>
      </w:pPr>
      <w:r>
        <w:rPr>
          <w:rFonts w:ascii="Cambria" w:cs="Cambria" w:eastAsia="Cambria" w:hAnsi="Cambria"/>
          <w:b/>
          <w:bCs/>
          <w:color w:val="1F3A5F"/>
          <w:sz w:val="30"/>
          <w:szCs w:val="30"/>
        </w:rPr>
        <w:t xml:space="preserve">1. Introducción</w:t>
      </w:r>
    </w:p>
    <w:p>
      <w:pPr>
        <w:pStyle w:val="Heading2"/>
        <w:spacing w:after="120" w:before="260"/>
      </w:pPr>
      <w:r>
        <w:rPr>
          <w:rFonts w:ascii="Cambria" w:cs="Cambria" w:eastAsia="Cambria" w:hAnsi="Cambria"/>
          <w:b/>
          <w:bCs/>
          <w:color w:val="16283F"/>
          <w:sz w:val="24"/>
          <w:szCs w:val="24"/>
        </w:rPr>
        <w:t xml:space="preserve">1.1 Propósito del documento</w:t>
      </w:r>
    </w:p>
    <w:p>
      <w:pPr>
        <w:spacing w:after="160" w:line="276"/>
        <w:jc w:val="both"/>
      </w:pPr>
      <w:r>
        <w:rPr>
          <w:rFonts w:ascii="Calibri" w:cs="Calibri" w:eastAsia="Calibri" w:hAnsi="Calibri"/>
          <w:b w:val="false"/>
          <w:bCs w:val="false"/>
          <w:i w:val="false"/>
          <w:iCs w:val="false"/>
          <w:color w:val="222222"/>
          <w:sz w:val="21"/>
          <w:szCs w:val="21"/>
        </w:rPr>
        <w:t xml:space="preserve">El presente documento tiene como propósito especificar, de manera simplificada, el problema que aborda el proyecto PerfumeTrending, los objetivos que orientan su desarrollo, los requisitos funcionales y no funcionales que debe cumplir el sistema, y los casos de uso que describen su interacción con los distintos tipos de usuario. Este documento sirve como base formal para las siguientes etapas del proyecto: el Documento de Diseño (arquitectura, modelo de datos y diagramas UML) y el desarrollo del software.</w:t>
      </w:r>
    </w:p>
    <w:p>
      <w:pPr>
        <w:pStyle w:val="Heading2"/>
        <w:spacing w:after="120" w:before="260"/>
      </w:pPr>
      <w:r>
        <w:rPr>
          <w:rFonts w:ascii="Cambria" w:cs="Cambria" w:eastAsia="Cambria" w:hAnsi="Cambria"/>
          <w:b/>
          <w:bCs/>
          <w:color w:val="16283F"/>
          <w:sz w:val="24"/>
          <w:szCs w:val="24"/>
        </w:rPr>
        <w:t xml:space="preserve">1.2 Alcance del documento</w:t>
      </w:r>
    </w:p>
    <w:p>
      <w:pPr>
        <w:spacing w:after="160" w:line="276"/>
        <w:jc w:val="both"/>
      </w:pPr>
      <w:r>
        <w:rPr>
          <w:rFonts w:ascii="Calibri" w:cs="Calibri" w:eastAsia="Calibri" w:hAnsi="Calibri"/>
          <w:b w:val="false"/>
          <w:bCs w:val="false"/>
          <w:i w:val="false"/>
          <w:iCs w:val="false"/>
          <w:color w:val="222222"/>
          <w:sz w:val="21"/>
          <w:szCs w:val="21"/>
        </w:rPr>
        <w:t xml:space="preserve">El alcance de este documento se limita a la especificación de requerimientos de la Fase 1 del Proyecto APT, bajo la metodología Cascada. No incluye el diseño técnico detallado (arquitectura, modelo entidad-relación, diagramas de componentes), el cual será desarrollado en el Documento de Diseño, ni los resultados de pruebas, que se documentan en el Plan de Pruebas y Evidencias.</w:t>
      </w:r>
    </w:p>
    <w:p>
      <w:pPr>
        <w:pStyle w:val="Heading2"/>
        <w:spacing w:after="120" w:before="260"/>
      </w:pPr>
      <w:r>
        <w:rPr>
          <w:rFonts w:ascii="Cambria" w:cs="Cambria" w:eastAsia="Cambria" w:hAnsi="Cambria"/>
          <w:b/>
          <w:bCs/>
          <w:color w:val="16283F"/>
          <w:sz w:val="24"/>
          <w:szCs w:val="24"/>
        </w:rPr>
        <w:t xml:space="preserve">1.3 Definiciones, siglas y acrónimos</w:t>
      </w:r>
    </w:p>
    <w:p>
      <w:pPr>
        <w:spacing w:after="160" w:line="276"/>
        <w:jc w:val="both"/>
      </w:pPr>
      <w:r>
        <w:rPr>
          <w:rFonts w:ascii="Calibri" w:cs="Calibri" w:eastAsia="Calibri" w:hAnsi="Calibri"/>
          <w:b w:val="false"/>
          <w:bCs w:val="false"/>
          <w:i w:val="false"/>
          <w:iCs w:val="false"/>
          <w:color w:val="222222"/>
          <w:sz w:val="21"/>
          <w:szCs w:val="21"/>
        </w:rPr>
        <w:t xml:space="preserve">En este documento se usan varias siglas y términos técnicos. SRS (Software Requirements Specification) es el documento de especificación de requisitos de software, que es el que se está leyendo. RF y RNF son las abreviaciones de requisito funcional y requisito no funcional, y UC corresponde a caso de uso (Use Case) según la notación UML. El Web Scraping es la técnica que permite extraer datos de forma automática desde sitios web, como precios, stock y catálogos, y el DOM (Document Object Model) es la estructura HTML de una página, sobre la cual trabajan los scrapers. El Trust Score es un índice de transparencia y confianza que se calcula para cada tienda electrónica a partir de indicadores públicos, mientras que el Hype Radar es el módulo que mide cuánto crece la popularidad de una fragancia en redes sociales y el Hype Score es el indicador que usa ese módulo. Por último, TOS (Terms of Service) son los términos de servicio de un sitio web, que incluyen el archivo robots.txt y los límites de tasa, y CI/CD significa Integración Continua y Despliegue Continuo (Continuous Integration / Continuous Deployment).</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2. Planteamiento del Problema</w:t>
      </w:r>
    </w:p>
    <w:p>
      <w:pPr>
        <w:pStyle w:val="Heading2"/>
        <w:spacing w:after="120" w:before="260"/>
      </w:pPr>
      <w:r>
        <w:rPr>
          <w:rFonts w:ascii="Cambria" w:cs="Cambria" w:eastAsia="Cambria" w:hAnsi="Cambria"/>
          <w:b/>
          <w:bCs/>
          <w:color w:val="16283F"/>
          <w:sz w:val="24"/>
          <w:szCs w:val="24"/>
        </w:rPr>
        <w:t xml:space="preserve">2.1 Contexto</w:t>
      </w:r>
    </w:p>
    <w:p>
      <w:pPr>
        <w:spacing w:after="160" w:line="276"/>
        <w:jc w:val="both"/>
      </w:pPr>
      <w:r>
        <w:rPr>
          <w:rFonts w:ascii="Calibri" w:cs="Calibri" w:eastAsia="Calibri" w:hAnsi="Calibri"/>
          <w:b w:val="false"/>
          <w:bCs w:val="false"/>
          <w:i w:val="false"/>
          <w:iCs w:val="false"/>
          <w:color w:val="222222"/>
          <w:sz w:val="21"/>
          <w:szCs w:val="21"/>
        </w:rPr>
        <w:t xml:space="preserve">El mercado chileno de perfumería ha crecido de forma sostenida en los últimos años: las ventas del rubro pasaron de US$155 millones en 2020 a US$261 millones en 2024 (+68%), y solo en la Región Metropolitana existen más de 250 tiendas especializadas, un 50% más que en 2019. Este crecimiento —impulsado en parte por la expansión de la perfumería árabe— ha generado un mercado más grande, más disperso entre canales (retail, tiendas independientes y redes sociales) y más difícil de comparar y verificar para el consumidor final.</w:t>
      </w:r>
    </w:p>
    <w:p>
      <w:pPr>
        <w:pStyle w:val="Heading2"/>
        <w:spacing w:after="120" w:before="260"/>
      </w:pPr>
      <w:r>
        <w:rPr>
          <w:rFonts w:ascii="Cambria" w:cs="Cambria" w:eastAsia="Cambria" w:hAnsi="Cambria"/>
          <w:b/>
          <w:bCs/>
          <w:color w:val="16283F"/>
          <w:sz w:val="24"/>
          <w:szCs w:val="24"/>
        </w:rPr>
        <w:t xml:space="preserve">2.2 Descripción del problema</w:t>
      </w:r>
    </w:p>
    <w:p>
      <w:pPr>
        <w:spacing w:after="160" w:line="276"/>
        <w:jc w:val="both"/>
      </w:pPr>
      <w:r>
        <w:rPr>
          <w:rFonts w:ascii="Calibri" w:cs="Calibri" w:eastAsia="Calibri" w:hAnsi="Calibri"/>
          <w:b w:val="true"/>
          <w:bCs w:val="true"/>
          <w:i w:val="false"/>
          <w:iCs w:val="false"/>
          <w:color w:val="222222"/>
          <w:sz w:val="21"/>
          <w:szCs w:val="21"/>
        </w:rPr>
        <w:t xml:space="preserve">Dispersión de precios: </w:t>
      </w:r>
      <w:r>
        <w:rPr>
          <w:rFonts w:ascii="Calibri" w:cs="Calibri" w:eastAsia="Calibri" w:hAnsi="Calibri"/>
          <w:b w:val="false"/>
          <w:bCs w:val="false"/>
          <w:i w:val="false"/>
          <w:iCs w:val="false"/>
          <w:color w:val="222222"/>
          <w:sz w:val="21"/>
          <w:szCs w:val="21"/>
        </w:rPr>
        <w:t xml:space="preserve">existe una diferencia considerable de valores entre las grandes cadenas de retail y las perfumerías independientes para una misma fragancia, lo que obliga al consumidor a revisar múltiples sitios web de forma manual para encontrar la mejor alternativa de compra.</w:t>
      </w:r>
    </w:p>
    <w:p>
      <w:pPr>
        <w:spacing w:after="160" w:line="276"/>
        <w:jc w:val="both"/>
      </w:pPr>
      <w:r>
        <w:rPr>
          <w:rFonts w:ascii="Calibri" w:cs="Calibri" w:eastAsia="Calibri" w:hAnsi="Calibri"/>
          <w:b w:val="true"/>
          <w:bCs w:val="true"/>
          <w:i w:val="false"/>
          <w:iCs w:val="false"/>
          <w:color w:val="222222"/>
          <w:sz w:val="21"/>
          <w:szCs w:val="21"/>
        </w:rPr>
        <w:t xml:space="preserve">Información distribuida y falta de confianza: </w:t>
      </w:r>
      <w:r>
        <w:rPr>
          <w:rFonts w:ascii="Calibri" w:cs="Calibri" w:eastAsia="Calibri" w:hAnsi="Calibri"/>
          <w:b w:val="false"/>
          <w:bCs w:val="false"/>
          <w:i w:val="false"/>
          <w:iCs w:val="false"/>
          <w:color w:val="222222"/>
          <w:sz w:val="21"/>
          <w:szCs w:val="21"/>
        </w:rPr>
        <w:t xml:space="preserve">los datos de precios, disponibilidad y productos se encuentran dispersos entre distintos comercios electrónicos, los cuales presentan distintos niveles de transparencia. No existe un indicador centralizado que apoye la evaluación de la seguridad y confiabilidad de una tienda.</w:t>
      </w:r>
    </w:p>
    <w:p>
      <w:pPr>
        <w:spacing w:after="160" w:line="276"/>
        <w:jc w:val="both"/>
      </w:pPr>
      <w:r>
        <w:rPr>
          <w:rFonts w:ascii="Calibri" w:cs="Calibri" w:eastAsia="Calibri" w:hAnsi="Calibri"/>
          <w:b w:val="true"/>
          <w:bCs w:val="true"/>
          <w:i w:val="false"/>
          <w:iCs w:val="false"/>
          <w:color w:val="222222"/>
          <w:sz w:val="21"/>
          <w:szCs w:val="21"/>
        </w:rPr>
        <w:t xml:space="preserve">Dificultad para rastrear tendencias: </w:t>
      </w:r>
      <w:r>
        <w:rPr>
          <w:rFonts w:ascii="Calibri" w:cs="Calibri" w:eastAsia="Calibri" w:hAnsi="Calibri"/>
          <w:b w:val="false"/>
          <w:bCs w:val="false"/>
          <w:i w:val="false"/>
          <w:iCs w:val="false"/>
          <w:color w:val="222222"/>
          <w:sz w:val="21"/>
          <w:szCs w:val="21"/>
        </w:rPr>
        <w:t xml:space="preserve">las redes sociales (especialmente YouTube, TikTok e Instagram) generan “picos” de popularidad repentinos en ciertas fragancias, lo que dificulta encontrar el producto disponible o a un precio conveniente una vez que se vuelve tendencia.</w:t>
      </w:r>
    </w:p>
    <w:p>
      <w:pPr>
        <w:pStyle w:val="Heading2"/>
        <w:spacing w:after="120" w:before="260"/>
      </w:pPr>
      <w:r>
        <w:rPr>
          <w:rFonts w:ascii="Cambria" w:cs="Cambria" w:eastAsia="Cambria" w:hAnsi="Cambria"/>
          <w:b/>
          <w:bCs/>
          <w:color w:val="16283F"/>
          <w:sz w:val="24"/>
          <w:szCs w:val="24"/>
        </w:rPr>
        <w:t xml:space="preserve">2.3 Alcance y limitaciones reconocidas del problema</w:t>
      </w:r>
    </w:p>
    <w:p>
      <w:pPr>
        <w:spacing w:after="160" w:line="276"/>
        <w:jc w:val="both"/>
      </w:pPr>
      <w:r>
        <w:rPr>
          <w:rFonts w:ascii="Calibri" w:cs="Calibri" w:eastAsia="Calibri" w:hAnsi="Calibri"/>
          <w:b w:val="false"/>
          <w:bCs w:val="false"/>
          <w:i w:val="false"/>
          <w:iCs w:val="false"/>
          <w:color w:val="222222"/>
          <w:sz w:val="21"/>
          <w:szCs w:val="21"/>
        </w:rPr>
        <w:t xml:space="preserve">A partir del análisis de factibilidad y riesgos realizado por el equipo (diagrama de Ishikawa y matriz de factibilidad), se establecen las siguientes acotaciones deliberadas al problema, que delimitan lo que el sistema puede resolver de forma realista en esta fase:</w:t>
      </w:r>
    </w:p>
    <w:p>
      <w:pPr>
        <w:spacing w:after="160" w:line="276"/>
        <w:jc w:val="both"/>
      </w:pPr>
      <w:r>
        <w:rPr>
          <w:rFonts w:ascii="Calibri" w:cs="Calibri" w:eastAsia="Calibri" w:hAnsi="Calibri"/>
          <w:b w:val="false"/>
          <w:bCs w:val="false"/>
          <w:i w:val="false"/>
          <w:iCs w:val="false"/>
          <w:color w:val="222222"/>
          <w:sz w:val="21"/>
          <w:szCs w:val="21"/>
        </w:rPr>
        <w:t xml:space="preserve">Para este proyecto se acotó el problema de forma deliberada. El análisis de tendencias sociales se limita a la API pública de YouTube Data, y la incorporación de TikTok e Instagram queda fuera de esta fase porque sus APIs son restringidas o de pago. El Trust Score es un indicador referencial construido con datos públicos (WHOIS, certificado SSL y antigüedad del dominio), que por sí solos no bastan como prueba de confianza; por eso el sistema no garantiza la legitimidad de una tienda, solo entrega una referencia más para la decisión del usuario. El Hype Radar detecta tendencias que ya están en curso y no predice qué perfume se hará viral, algo que se reconoce como un riesgo incierto y queda fuera del alcance. Finalmente, el sistema no procesa pagos ni transacciones: la compra se completa en el sitio de la tienda, a la cual el usuario es redirigido.</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3. Objetivos</w:t>
      </w:r>
    </w:p>
    <w:p>
      <w:pPr>
        <w:pStyle w:val="Heading2"/>
        <w:spacing w:after="120" w:before="260"/>
      </w:pPr>
      <w:r>
        <w:rPr>
          <w:rFonts w:ascii="Cambria" w:cs="Cambria" w:eastAsia="Cambria" w:hAnsi="Cambria"/>
          <w:b/>
          <w:bCs/>
          <w:color w:val="16283F"/>
          <w:sz w:val="24"/>
          <w:szCs w:val="24"/>
        </w:rPr>
        <w:t xml:space="preserve">3.1 Objetivo general</w:t>
      </w:r>
    </w:p>
    <w:p>
      <w:pPr>
        <w:spacing w:after="160" w:line="276"/>
        <w:jc w:val="both"/>
      </w:pPr>
      <w:r>
        <w:rPr>
          <w:rFonts w:ascii="Calibri" w:cs="Calibri" w:eastAsia="Calibri" w:hAnsi="Calibri"/>
          <w:b w:val="false"/>
          <w:bCs w:val="false"/>
          <w:i w:val="false"/>
          <w:iCs w:val="false"/>
          <w:color w:val="222222"/>
          <w:sz w:val="21"/>
          <w:szCs w:val="21"/>
        </w:rPr>
        <w:t xml:space="preserve">Desarrollar una plataforma web denominada PerfumeTrending que permita recopilar, centralizar y comparar de manera automatizada los precios y disponibilidad de perfumes ofrecidos por distintas tiendas online en Chile, incorporando de forma complementaria un índice de confianza de comercios y un análisis de tendencias en redes sociales.</w:t>
      </w:r>
    </w:p>
    <w:p>
      <w:pPr>
        <w:pStyle w:val="Heading2"/>
        <w:spacing w:after="120" w:before="260"/>
      </w:pPr>
      <w:r>
        <w:rPr>
          <w:rFonts w:ascii="Cambria" w:cs="Cambria" w:eastAsia="Cambria" w:hAnsi="Cambria"/>
          <w:b/>
          <w:bCs/>
          <w:color w:val="16283F"/>
          <w:sz w:val="24"/>
          <w:szCs w:val="24"/>
        </w:rPr>
        <w:t xml:space="preserve">3.2 Objetivos específicos</w:t>
      </w:r>
    </w:p>
    <w:p>
      <w:pPr>
        <w:spacing w:after="160" w:line="276"/>
        <w:jc w:val="both"/>
      </w:pPr>
      <w:r>
        <w:rPr>
          <w:rFonts w:ascii="Calibri" w:cs="Calibri" w:eastAsia="Calibri" w:hAnsi="Calibri"/>
          <w:b w:val="false"/>
          <w:bCs w:val="false"/>
          <w:i w:val="false"/>
          <w:iCs w:val="false"/>
          <w:color w:val="222222"/>
          <w:sz w:val="21"/>
          <w:szCs w:val="21"/>
        </w:rPr>
        <w:t xml:space="preserve">El proyecto tiene seis objetivos específicos. El OBJ-01 es diseñar e implementar motores de Web Scraping automatizados que extraigan de forma continua datos, precios, stock y catálogos desde e-commerces y tiendas de perfumería en Chile. El OBJ-02 busca desarrollar un algoritmo de análisis de datos que cuantifique el volumen de conversación sobre fragancias en YouTube mediante su API pública, calculando la tasa de crecimiento semanal de menciones para alimentar el módulo Hype Radar, con una arquitectura que permita sumar otras redes sociales en fases futuras. El OBJ-03 consiste en construir el Trust Score, un índice de transparencia que analiza indicadores de seguridad e historial digital de los comercios electrónicos para orientar al usuario en compras seguras.</w:t>
      </w:r>
    </w:p>
    <w:p>
      <w:pPr>
        <w:spacing w:after="160" w:line="276"/>
        <w:jc w:val="both"/>
      </w:pPr>
      <w:r>
        <w:rPr>
          <w:rFonts w:ascii="Calibri" w:cs="Calibri" w:eastAsia="Calibri" w:hAnsi="Calibri"/>
          <w:b w:val="false"/>
          <w:bCs w:val="false"/>
          <w:i w:val="false"/>
          <w:iCs w:val="false"/>
          <w:color w:val="222222"/>
          <w:sz w:val="21"/>
          <w:szCs w:val="21"/>
        </w:rPr>
        <w:t xml:space="preserve">Por otro lado, el OBJ-04 es modelar e implementar la base de datos y las APIs de conexión, para asegurar un almacenamiento estructurado, la integridad de los datos y un flujo de información eficiente entre el Backend y el Frontend. El OBJ-05 es desarrollar una interfaz interactiva y responsiva en Streamlit, que incluya un buscador multicriterio, comparadores visuales de precios, un panel de alertas de usuario y un selector de tema claro u oscuro. Finalmente, el OBJ-06 es establecer el control de versiones y el despliegue continuo (CI/CD) de forma centralizada en GitHub, lo que asegura la trazabilidad de los avances individuales y grupales y la integración periódica de los componentes del software.</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4. Descripción General del Sistema</w:t>
      </w:r>
    </w:p>
    <w:p>
      <w:pPr>
        <w:pStyle w:val="Heading2"/>
        <w:spacing w:after="120" w:before="260"/>
      </w:pPr>
      <w:r>
        <w:rPr>
          <w:rFonts w:ascii="Cambria" w:cs="Cambria" w:eastAsia="Cambria" w:hAnsi="Cambria"/>
          <w:b/>
          <w:bCs/>
          <w:color w:val="16283F"/>
          <w:sz w:val="24"/>
          <w:szCs w:val="24"/>
        </w:rPr>
        <w:t xml:space="preserve">4.1 Perspectiva del producto</w:t>
      </w:r>
    </w:p>
    <w:p>
      <w:pPr>
        <w:spacing w:after="160" w:line="276"/>
        <w:jc w:val="both"/>
      </w:pPr>
      <w:r>
        <w:rPr>
          <w:rFonts w:ascii="Calibri" w:cs="Calibri" w:eastAsia="Calibri" w:hAnsi="Calibri"/>
          <w:b w:val="false"/>
          <w:bCs w:val="false"/>
          <w:i w:val="false"/>
          <w:iCs w:val="false"/>
          <w:color w:val="222222"/>
          <w:sz w:val="21"/>
          <w:szCs w:val="21"/>
        </w:rPr>
        <w:t xml:space="preserve">PerfumeTrending es un sistema web compuesto por un backend en Python (encargado del Web Scraping, la normalización de datos, el cálculo del Trust Score y del Hype Score, y la exposición de APIs), una base de datos relacional PostgreSQL, y un frontend desarrollado en Streamlit. El código se aloja y versiona en GitHub, con integración y despliegue continuo (CI/CD) hacia Streamlit Community Cloud. El sistema se organiza conceptualmente en cuatro etapas (modelo BPM).</w:t>
      </w:r>
    </w:p>
    <w:p>
      <w:pPr>
        <w:spacing w:after="160" w:line="276"/>
        <w:jc w:val="both"/>
      </w:pPr>
      <w:r>
        <w:rPr>
          <w:rFonts w:ascii="Calibri" w:cs="Calibri" w:eastAsia="Calibri" w:hAnsi="Calibri"/>
          <w:b w:val="false"/>
          <w:bCs w:val="false"/>
          <w:i w:val="false"/>
          <w:iCs w:val="false"/>
          <w:color w:val="222222"/>
          <w:sz w:val="21"/>
          <w:szCs w:val="21"/>
        </w:rPr>
        <w:t xml:space="preserve">La primera etapa es la captura de datos, donde se hace Web Scraping automatizado de precios, stock y catálogos, se extraen menciones y reproducciones desde YouTube y se registran las búsquedas, favoritos y precios meta del usuario. La segunda es el procesamiento e inteligencia, en la que se normalizan, limpian y desduplican los datos y se calculan el Trust Score de cada tienda y el Hype Score de cada fragancia. La tercera es la visualización y salida, que incluye el comparador de precios, la ficha de transparencia (Trust Score) de cada tienda y el Hype Radar con el ranking de fragancias virales. La cuarta es la generación de valor: el usuario ahorra tiempo y dinero gracias a una búsqueda centralizada, se reduce el riesgo de fraude y las decisiones de compra son más informadas.</w:t>
      </w:r>
    </w:p>
    <w:p>
      <w:pPr>
        <w:pStyle w:val="Heading2"/>
        <w:spacing w:after="120" w:before="260"/>
      </w:pPr>
      <w:r>
        <w:rPr>
          <w:rFonts w:ascii="Cambria" w:cs="Cambria" w:eastAsia="Cambria" w:hAnsi="Cambria"/>
          <w:b/>
          <w:bCs/>
          <w:color w:val="16283F"/>
          <w:sz w:val="24"/>
          <w:szCs w:val="24"/>
        </w:rPr>
        <w:t xml:space="preserve">4.2 Actores del sistema</w:t>
      </w:r>
    </w:p>
    <w:p>
      <w:pPr>
        <w:spacing w:after="160" w:line="276"/>
        <w:jc w:val="both"/>
      </w:pPr>
      <w:r>
        <w:rPr>
          <w:rFonts w:ascii="Calibri" w:cs="Calibri" w:eastAsia="Calibri" w:hAnsi="Calibri"/>
          <w:b w:val="true"/>
          <w:bCs w:val="true"/>
          <w:i w:val="false"/>
          <w:iCs w:val="false"/>
          <w:color w:val="222222"/>
          <w:sz w:val="21"/>
          <w:szCs w:val="21"/>
        </w:rPr>
        <w:t xml:space="preserve">Usuario Visitante: </w:t>
      </w:r>
      <w:r>
        <w:rPr>
          <w:rFonts w:ascii="Calibri" w:cs="Calibri" w:eastAsia="Calibri" w:hAnsi="Calibri"/>
          <w:b w:val="false"/>
          <w:bCs w:val="false"/>
          <w:i w:val="false"/>
          <w:iCs w:val="false"/>
          <w:color w:val="222222"/>
          <w:sz w:val="21"/>
          <w:szCs w:val="21"/>
        </w:rPr>
        <w:t xml:space="preserve">cualquier persona que accede a la plataforma sin necesidad de registrarse. Puede buscar y comparar precios, consultar el Trust Score de una tienda y consultar el Hype Radar.</w:t>
      </w:r>
    </w:p>
    <w:p>
      <w:pPr>
        <w:spacing w:after="160" w:line="276"/>
        <w:jc w:val="both"/>
      </w:pPr>
      <w:r>
        <w:rPr>
          <w:rFonts w:ascii="Calibri" w:cs="Calibri" w:eastAsia="Calibri" w:hAnsi="Calibri"/>
          <w:b w:val="true"/>
          <w:bCs w:val="true"/>
          <w:i w:val="false"/>
          <w:iCs w:val="false"/>
          <w:color w:val="222222"/>
          <w:sz w:val="21"/>
          <w:szCs w:val="21"/>
        </w:rPr>
        <w:t xml:space="preserve">Usuario Registrado: </w:t>
      </w:r>
      <w:r>
        <w:rPr>
          <w:rFonts w:ascii="Calibri" w:cs="Calibri" w:eastAsia="Calibri" w:hAnsi="Calibri"/>
          <w:b w:val="false"/>
          <w:bCs w:val="false"/>
          <w:i w:val="false"/>
          <w:iCs w:val="false"/>
          <w:color w:val="222222"/>
          <w:sz w:val="21"/>
          <w:szCs w:val="21"/>
        </w:rPr>
        <w:t xml:space="preserve">hereda todas las capacidades del Usuario Visitante y, adicionalmente, puede guardar favoritos y configurar alertas de precio, previa autenticación.</w:t>
      </w:r>
    </w:p>
    <w:p>
      <w:pPr>
        <w:spacing w:after="160" w:line="276"/>
        <w:jc w:val="both"/>
      </w:pPr>
      <w:r>
        <w:rPr>
          <w:rFonts w:ascii="Calibri" w:cs="Calibri" w:eastAsia="Calibri" w:hAnsi="Calibri"/>
          <w:b w:val="true"/>
          <w:bCs w:val="true"/>
          <w:i w:val="false"/>
          <w:iCs w:val="false"/>
          <w:color w:val="222222"/>
          <w:sz w:val="21"/>
          <w:szCs w:val="21"/>
        </w:rPr>
        <w:t xml:space="preserve">Motor de Scraping / IA (actor de sistema): </w:t>
      </w:r>
      <w:r>
        <w:rPr>
          <w:rFonts w:ascii="Calibri" w:cs="Calibri" w:eastAsia="Calibri" w:hAnsi="Calibri"/>
          <w:b w:val="false"/>
          <w:bCs w:val="false"/>
          <w:i w:val="false"/>
          <w:iCs w:val="false"/>
          <w:color w:val="222222"/>
          <w:sz w:val="21"/>
          <w:szCs w:val="21"/>
        </w:rPr>
        <w:t xml:space="preserve">procesos automatizados y programados (no humanos) que actualizan el catálogo de precios y calculan el Trust Score y el Hype Score sin intervención directa del usuario.</w:t>
      </w:r>
    </w:p>
    <w:p>
      <w:pPr>
        <w:pStyle w:val="Heading2"/>
        <w:spacing w:after="120" w:before="260"/>
      </w:pPr>
      <w:r>
        <w:rPr>
          <w:rFonts w:ascii="Cambria" w:cs="Cambria" w:eastAsia="Cambria" w:hAnsi="Cambria"/>
          <w:b/>
          <w:bCs/>
          <w:color w:val="16283F"/>
          <w:sz w:val="24"/>
          <w:szCs w:val="24"/>
        </w:rPr>
        <w:t xml:space="preserve">4.3 Restricciones generales</w:t>
      </w:r>
    </w:p>
    <w:p>
      <w:pPr>
        <w:spacing w:after="160" w:line="276"/>
        <w:jc w:val="both"/>
      </w:pPr>
      <w:r>
        <w:rPr>
          <w:rFonts w:ascii="Calibri" w:cs="Calibri" w:eastAsia="Calibri" w:hAnsi="Calibri"/>
          <w:b w:val="false"/>
          <w:bCs w:val="false"/>
          <w:i w:val="false"/>
          <w:iCs w:val="false"/>
          <w:color w:val="222222"/>
          <w:sz w:val="21"/>
          <w:szCs w:val="21"/>
        </w:rPr>
        <w:t xml:space="preserve">El proyecto tiene varias restricciones. El equipo de desarrollo es de tres integrantes y no cuenta con un especialista en IA o NLP, por lo que el módulo Hype Radar se limita a analizar el volumen y el crecimiento de las menciones, sin procesamiento de lenguaje natural avanzado. La infraestructura usa capas gratuitas (Streamlit Community Cloud, YouTube Data API y PostgreSQL), con disponibilidad y cuotas limitadas ante picos de uso. Además, se trabaja con metodología Cascada, con el alcance definido al inicio y poca tolerancia a cambios profundos durante el desarrollo, y la duración total es de 13 semanas de desarrollo efectivo (31 de agosto al 30 de noviembre de 2026), dentro de un semestre académico de 18 semanas.</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5. Requisitos Funcionales</w:t>
      </w:r>
    </w:p>
    <w:p>
      <w:pPr>
        <w:spacing w:after="160" w:line="276"/>
        <w:jc w:val="both"/>
      </w:pPr>
      <w:r>
        <w:rPr>
          <w:rFonts w:ascii="Calibri" w:cs="Calibri" w:eastAsia="Calibri" w:hAnsi="Calibri"/>
          <w:b w:val="false"/>
          <w:bCs w:val="false"/>
          <w:i w:val="false"/>
          <w:iCs w:val="false"/>
          <w:color w:val="222222"/>
          <w:sz w:val="21"/>
          <w:szCs w:val="21"/>
        </w:rPr>
        <w:t xml:space="preserve">Los requisitos funcionales se agrupan por módulo del sistema. La prioridad se clasifica en Alta (imprescindible para el objetivo general), Media (relevante para la experiencia de usuario) o Baja (mejora incremental).</w:t>
      </w:r>
    </w:p>
    <w:p>
      <w:pPr>
        <w:pStyle w:val="Heading2"/>
        <w:spacing w:after="120" w:before="260"/>
      </w:pPr>
      <w:r>
        <w:rPr>
          <w:rFonts w:ascii="Cambria" w:cs="Cambria" w:eastAsia="Cambria" w:hAnsi="Cambria"/>
          <w:b/>
          <w:bCs/>
          <w:color w:val="16283F"/>
          <w:sz w:val="24"/>
          <w:szCs w:val="24"/>
        </w:rPr>
        <w:t xml:space="preserve">5.1 Módulo Comparador de Precios (núcleo)</w:t>
      </w:r>
    </w:p>
    <w:p>
      <w:pPr>
        <w:spacing w:after="160" w:line="276"/>
        <w:jc w:val="both"/>
      </w:pPr>
      <w:r>
        <w:rPr>
          <w:rFonts w:ascii="Calibri" w:cs="Calibri" w:eastAsia="Calibri" w:hAnsi="Calibri"/>
          <w:b w:val="false"/>
          <w:bCs w:val="false"/>
          <w:i w:val="false"/>
          <w:iCs w:val="false"/>
          <w:color w:val="222222"/>
          <w:sz w:val="21"/>
          <w:szCs w:val="21"/>
        </w:rPr>
        <w:t xml:space="preserve">Este módulo es el núcleo del sistema y tiene seis requisitos, todos orientados al Usuario Visitante. El RF-01 (prioridad alta) indica que el sistema debe permitir buscar perfumes por nombre, marca o notas olfativas mediante texto libre, y el RF-02 (alta) que se puedan filtrar los resultados por categoría: Hombre, Mujer, Árabe, Diseñador, Nicho e Internacional. Según el RF-03 (alta), los resultados se muestran ordenados por precio y disponibilidad de stock, juntando la información de varias tiendas. El RF-04 (alta) pide una ficha de producto con el precio de cada tienda, destacando la opción más económica, y el RF-05 (media) pide guardar y mostrar el historial de variación de precio de un producto en el tiempo. Finalmente, el RF-06 (alta) establece que el sistema debe redirigir al usuario al sitio de la tienda elegida para completar la compra, ya que el sistema no procesa pagos.</w:t>
      </w:r>
    </w:p>
    <w:p>
      <w:pPr>
        <w:pStyle w:val="Heading2"/>
        <w:spacing w:after="120" w:before="260"/>
      </w:pPr>
      <w:r>
        <w:rPr>
          <w:rFonts w:ascii="Cambria" w:cs="Cambria" w:eastAsia="Cambria" w:hAnsi="Cambria"/>
          <w:b/>
          <w:bCs/>
          <w:color w:val="16283F"/>
          <w:sz w:val="24"/>
          <w:szCs w:val="24"/>
        </w:rPr>
        <w:t xml:space="preserve">5.2 Módulo Trust Score (complementario)</w:t>
      </w:r>
    </w:p>
    <w:p>
      <w:pPr>
        <w:spacing w:after="160" w:line="276"/>
        <w:jc w:val="both"/>
      </w:pPr>
      <w:r>
        <w:rPr>
          <w:rFonts w:ascii="Calibri" w:cs="Calibri" w:eastAsia="Calibri" w:hAnsi="Calibri"/>
          <w:b w:val="false"/>
          <w:bCs w:val="false"/>
          <w:i w:val="false"/>
          <w:iCs w:val="false"/>
          <w:color w:val="222222"/>
          <w:sz w:val="21"/>
          <w:szCs w:val="21"/>
        </w:rPr>
        <w:t xml:space="preserve">El módulo Trust Score tiene tres requisitos. El RF-07 (prioridad alta) establece que el sistema debe calcular un índice de confianza para cada tienda a partir de indicadores públicos, como la antigüedad del dominio, el certificado SSL y si es un canal formal o verificado; este cálculo lo realiza el propio sistema. El RF-08 (alta) indica que el nivel de confianza de cada tienda (por ejemplo “Confirmado” o “Riesgo Alto”) debe verse junto a cada resultado de precio, y el RF-09 (media) que se muestre una alerta visual cuando una tienda tenga indicadores de riesgo elevado, como un posible fraude o réplica. Estos dos últimos requisitos son para el Usuario Visitante.</w:t>
      </w:r>
    </w:p>
    <w:p>
      <w:pPr>
        <w:pStyle w:val="Heading2"/>
        <w:spacing w:after="120" w:before="260"/>
      </w:pPr>
      <w:r>
        <w:rPr>
          <w:rFonts w:ascii="Cambria" w:cs="Cambria" w:eastAsia="Cambria" w:hAnsi="Cambria"/>
          <w:b/>
          <w:bCs/>
          <w:color w:val="16283F"/>
          <w:sz w:val="24"/>
          <w:szCs w:val="24"/>
        </w:rPr>
        <w:t xml:space="preserve">5.3 Módulo Hype Radar (complementario)</w:t>
      </w:r>
    </w:p>
    <w:p>
      <w:pPr>
        <w:spacing w:after="160" w:line="276"/>
        <w:jc w:val="both"/>
      </w:pPr>
      <w:r>
        <w:rPr>
          <w:rFonts w:ascii="Calibri" w:cs="Calibri" w:eastAsia="Calibri" w:hAnsi="Calibri"/>
          <w:b w:val="false"/>
          <w:bCs w:val="false"/>
          <w:i w:val="false"/>
          <w:iCs w:val="false"/>
          <w:color w:val="222222"/>
          <w:sz w:val="21"/>
          <w:szCs w:val="21"/>
        </w:rPr>
        <w:t xml:space="preserve">El módulo Hype Radar tiene tres requisitos de prioridad media. En el RF-10 el sistema calcula un Hype Score a partir del volumen y la tasa de crecimiento semanal de menciones en YouTube, usando su API pública. El RF-11 pide mostrar al Usuario Visitante un ranking de las fragancias con mayor crecimiento de popularidad, que se pueda filtrar por semana, mes o año, y el RF-12 pide que cada fragancia del ranking tenga un enlace directo a su ficha en el comparador de precios.</w:t>
      </w:r>
    </w:p>
    <w:p>
      <w:pPr>
        <w:pStyle w:val="Heading2"/>
        <w:spacing w:after="120" w:before="260"/>
      </w:pPr>
      <w:r>
        <w:rPr>
          <w:rFonts w:ascii="Cambria" w:cs="Cambria" w:eastAsia="Cambria" w:hAnsi="Cambria"/>
          <w:b/>
          <w:bCs/>
          <w:color w:val="16283F"/>
          <w:sz w:val="24"/>
          <w:szCs w:val="24"/>
        </w:rPr>
        <w:t xml:space="preserve">5.4 Módulo de Usuario</w:t>
      </w:r>
    </w:p>
    <w:p>
      <w:pPr>
        <w:spacing w:after="160" w:line="276"/>
        <w:jc w:val="both"/>
      </w:pPr>
      <w:r>
        <w:rPr>
          <w:rFonts w:ascii="Calibri" w:cs="Calibri" w:eastAsia="Calibri" w:hAnsi="Calibri"/>
          <w:b w:val="false"/>
          <w:bCs w:val="false"/>
          <w:i w:val="false"/>
          <w:iCs w:val="false"/>
          <w:color w:val="222222"/>
          <w:sz w:val="21"/>
          <w:szCs w:val="21"/>
        </w:rPr>
        <w:t xml:space="preserve">El módulo de usuario tiene cuatro requisitos. El RF-13 (prioridad alta) permite que un usuario se registre e inicie sesión con credenciales. Una vez dentro, el Usuario Registrado puede guardar perfumes o marcas como favoritos (RF-14, media) y configurar un precio meta para un producto, de modo que el sistema le avise cuando ese precio se alcance (RF-15, media). Por último, el RF-16 (baja) permite al Usuario Visitante cambiar la interfaz entre tema claro y oscuro.</w:t>
      </w:r>
    </w:p>
    <w:p>
      <w:pPr>
        <w:pStyle w:val="Heading2"/>
        <w:spacing w:after="120" w:before="260"/>
      </w:pPr>
      <w:r>
        <w:rPr>
          <w:rFonts w:ascii="Cambria" w:cs="Cambria" w:eastAsia="Cambria" w:hAnsi="Cambria"/>
          <w:b/>
          <w:bCs/>
          <w:color w:val="16283F"/>
          <w:sz w:val="24"/>
          <w:szCs w:val="24"/>
        </w:rPr>
        <w:t xml:space="preserve">5.5 Módulo de Datos y Backend (soporte)</w:t>
      </w:r>
    </w:p>
    <w:p>
      <w:pPr>
        <w:spacing w:after="160" w:line="276"/>
        <w:jc w:val="both"/>
      </w:pPr>
      <w:r>
        <w:rPr>
          <w:rFonts w:ascii="Calibri" w:cs="Calibri" w:eastAsia="Calibri" w:hAnsi="Calibri"/>
          <w:b w:val="false"/>
          <w:bCs w:val="false"/>
          <w:i w:val="false"/>
          <w:iCs w:val="false"/>
          <w:color w:val="222222"/>
          <w:sz w:val="21"/>
          <w:szCs w:val="21"/>
        </w:rPr>
        <w:t xml:space="preserve">Este módulo sirve de soporte al resto del sistema y sus tres requisitos son de prioridad alta y los realiza el propio sistema. El RF-17 indica que el Web Scraping debe ejecutarse de forma periódica y automática sobre la lista de tiendas configuradas. El RF-18 pide normalizar y homologar los nombres y catálogos extraídos para evitar duplicados e inconsistencias entre tiendas. El RF-19 exige que los errores de extracción de una tienda se registren sin detener el scraping de las demás.</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6. Requisitos No Funcionales</w:t>
      </w:r>
    </w:p>
    <w:p>
      <w:pPr>
        <w:spacing w:after="160" w:line="276"/>
        <w:jc w:val="both"/>
      </w:pPr>
      <w:r>
        <w:rPr>
          <w:rFonts w:ascii="Calibri" w:cs="Calibri" w:eastAsia="Calibri" w:hAnsi="Calibri"/>
          <w:b w:val="false"/>
          <w:bCs w:val="false"/>
          <w:i w:val="false"/>
          <w:iCs w:val="false"/>
          <w:color w:val="222222"/>
          <w:sz w:val="21"/>
          <w:szCs w:val="21"/>
        </w:rPr>
        <w:t xml:space="preserve">Los requisitos no funcionales describen atributos de calidad, restricciones técnicas y condiciones de operación del sistema, muchos de ellos derivados directamente del análisis de factibilidad y riesgos (diagrama de Ishikawa) desarrollado por el equipo.</w:t>
      </w:r>
    </w:p>
    <w:p>
      <w:pPr>
        <w:spacing w:after="160" w:line="276"/>
        <w:jc w:val="both"/>
      </w:pPr>
      <w:r>
        <w:rPr>
          <w:rFonts w:ascii="Calibri" w:cs="Calibri" w:eastAsia="Calibri" w:hAnsi="Calibri"/>
          <w:b w:val="false"/>
          <w:bCs w:val="false"/>
          <w:i w:val="false"/>
          <w:iCs w:val="false"/>
          <w:color w:val="222222"/>
          <w:sz w:val="21"/>
          <w:szCs w:val="21"/>
        </w:rPr>
        <w:t xml:space="preserve">El RNF-01 (rendimiento) indica que la comparación de precios debe responder en un tiempo razonable, referencialmente menos de 3 segundos, para los catálogos que ya están en la base de datos. El RNF-02 (disponibilidad y escalabilidad) dice que el sistema funciona sobre capas gratuitas como Streamlit Community Cloud, por lo que se reconoce como riesgo su poca elasticidad ante picos de demanda en temporadas altas. En seguridad, el RNF-03 exige que las contraseñas de los usuarios registrados se guarden cifradas y que las comunicaciones usen HTTPS. Respecto al cumplimiento legal, el RNF-04 establece que el motor de scraping debe respetar el archivo robots.txt y los límites de tasa de cada sitio, para no sobrecargar servidores de terceros.</w:t>
      </w:r>
    </w:p>
    <w:p>
      <w:pPr>
        <w:spacing w:after="160" w:line="276"/>
        <w:jc w:val="both"/>
      </w:pPr>
      <w:r>
        <w:rPr>
          <w:rFonts w:ascii="Calibri" w:cs="Calibri" w:eastAsia="Calibri" w:hAnsi="Calibri"/>
          <w:b w:val="false"/>
          <w:bCs w:val="false"/>
          <w:i w:val="false"/>
          <w:iCs w:val="false"/>
          <w:color w:val="222222"/>
          <w:sz w:val="21"/>
          <w:szCs w:val="21"/>
        </w:rPr>
        <w:t xml:space="preserve">En cuanto a la confiabilidad del dato, el RNF-05 señala que el Trust Score debe mostrarse como un indicador referencial y no como garantía de legitimidad, porque WHOIS y SSL no bastan por sí solos como prueba de confianza, y el RNF-06 pide comunicar de forma explícita que el Hype Radar detecta tendencias en curso y no predice con certeza una viralidad futura. El RNF-10 limita la recolección de métricas sociales a la API pública de YouTube Data en esta fase, ya que TikTok e Instagram tienen acceso restringido o de pago. Sobre usabilidad, el RNF-08 pide que la interfaz sea responsiva y se pueda usar desde computador y celular sin instalar nada, y el RNF-11 que el buscador acepte nombre, marca o notas olfativas en texto libre, sin que el usuario necesite una sintaxis técnica.</w:t>
      </w:r>
    </w:p>
    <w:p>
      <w:pPr>
        <w:spacing w:after="160" w:line="276"/>
        <w:jc w:val="both"/>
      </w:pPr>
      <w:r>
        <w:rPr>
          <w:rFonts w:ascii="Calibri" w:cs="Calibri" w:eastAsia="Calibri" w:hAnsi="Calibri"/>
          <w:b w:val="false"/>
          <w:bCs w:val="false"/>
          <w:i w:val="false"/>
          <w:iCs w:val="false"/>
          <w:color w:val="222222"/>
          <w:sz w:val="21"/>
          <w:szCs w:val="21"/>
        </w:rPr>
        <w:t xml:space="preserve">Por último, el RNF-07 (mantenibilidad) pide que el código del scraping sea modular, con una función independiente por tienda, manejo de errores con try/except y selectores flexibles, para tolerar cambios en el DOM sin afectar a los demás módulos. El RNF-09 (operabilidad) exige usar control de versiones en GitHub y despliegue continuo (CI/CD), para tener trazabilidad de los cambios y actualizaciones periódicas en producción. El RNF-12 (resiliencia ante bloqueos) indica que el sistema debe mitigar los bloqueos antibot, como CAPTCHA o bloqueo por IP, mediante rotación de User-Agents y reintentos controlados.</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7. Casos de Uso</w:t>
      </w:r>
    </w:p>
    <w:p>
      <w:pPr>
        <w:pStyle w:val="Heading2"/>
        <w:spacing w:after="120" w:before="260"/>
      </w:pPr>
      <w:r>
        <w:rPr>
          <w:rFonts w:ascii="Cambria" w:cs="Cambria" w:eastAsia="Cambria" w:hAnsi="Cambria"/>
          <w:b/>
          <w:bCs/>
          <w:color w:val="16283F"/>
          <w:sz w:val="24"/>
          <w:szCs w:val="24"/>
        </w:rPr>
        <w:t xml:space="preserve">7.1 Actores</w:t>
      </w:r>
    </w:p>
    <w:p>
      <w:pPr>
        <w:spacing w:after="160" w:line="276"/>
        <w:jc w:val="both"/>
      </w:pPr>
      <w:r>
        <w:rPr>
          <w:rFonts w:ascii="Calibri" w:cs="Calibri" w:eastAsia="Calibri" w:hAnsi="Calibri"/>
          <w:b w:val="false"/>
          <w:bCs w:val="false"/>
          <w:i w:val="false"/>
          <w:iCs w:val="false"/>
          <w:color w:val="222222"/>
          <w:sz w:val="21"/>
          <w:szCs w:val="21"/>
        </w:rPr>
        <w:t xml:space="preserve">Los actores son los mismos descritos en la sección 4.2. El Usuario Visitante accede a la plataforma sin registrarse y puede buscar, comparar precios y consultar el Trust Score y el Hype Radar. El Usuario Registrado hereda esas capacidades y además gestiona favoritos y alertas de precio, previa autenticación. El Motor de Scraping / IA es un actor de sistema, es decir, no humano: son procesos automatizados y programados que actualizan el catálogo y calculan el Trust Score y el Hype Score.</w:t>
      </w:r>
    </w:p>
    <w:p>
      <w:pPr>
        <w:pStyle w:val="Heading2"/>
        <w:spacing w:after="120" w:before="260"/>
      </w:pPr>
      <w:r>
        <w:rPr>
          <w:rFonts w:ascii="Cambria" w:cs="Cambria" w:eastAsia="Cambria" w:hAnsi="Cambria"/>
          <w:b/>
          <w:bCs/>
          <w:color w:val="16283F"/>
          <w:sz w:val="24"/>
          <w:szCs w:val="24"/>
        </w:rPr>
        <w:t xml:space="preserve">7.2 Diagrama de casos de uso</w:t>
      </w:r>
    </w:p>
    <w:p>
      <w:pPr>
        <w:spacing w:after="60" w:before="120"/>
        <w:jc w:val="center"/>
      </w:pPr>
      <w:r>
        <w:drawing>
          <wp:inline distT="0" distB="0" distL="0" distR="0">
            <wp:extent cx="5334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71875"/>
                    </a:xfrm>
                    <a:prstGeom prst="rect">
                      <a:avLst/>
                    </a:prstGeom>
                  </pic:spPr>
                </pic:pic>
              </a:graphicData>
            </a:graphic>
          </wp:inline>
        </w:drawing>
      </w:r>
    </w:p>
    <w:p>
      <w:pPr>
        <w:spacing w:after="240" w:before="60"/>
        <w:jc w:val="center"/>
      </w:pPr>
      <w:r>
        <w:rPr>
          <w:rFonts w:ascii="Calibri" w:cs="Calibri" w:eastAsia="Calibri" w:hAnsi="Calibri"/>
          <w:i/>
          <w:iCs/>
          <w:color w:val="5B6672"/>
          <w:sz w:val="18"/>
          <w:szCs w:val="18"/>
        </w:rPr>
        <w:t xml:space="preserve">Figura 1. Diagrama UML de casos de uso — Sistema PerfumeTrending.</w:t>
      </w:r>
    </w:p>
    <w:p>
      <w:pPr>
        <w:pStyle w:val="Heading2"/>
        <w:spacing w:after="120" w:before="260"/>
      </w:pPr>
      <w:r>
        <w:rPr>
          <w:rFonts w:ascii="Cambria" w:cs="Cambria" w:eastAsia="Cambria" w:hAnsi="Cambria"/>
          <w:b/>
          <w:bCs/>
          <w:color w:val="16283F"/>
          <w:sz w:val="24"/>
          <w:szCs w:val="24"/>
        </w:rPr>
        <w:t xml:space="preserve">7.3 Especificación de casos de uso principales</w:t>
      </w:r>
    </w:p>
    <w:p>
      <w:pPr>
        <w:spacing w:after="160" w:line="276"/>
        <w:jc w:val="both"/>
      </w:pPr>
      <w:r>
        <w:rPr>
          <w:rFonts w:ascii="Calibri" w:cs="Calibri" w:eastAsia="Calibri" w:hAnsi="Calibri"/>
          <w:b w:val="false"/>
          <w:bCs w:val="false"/>
          <w:i w:val="false"/>
          <w:iCs w:val="false"/>
          <w:color w:val="222222"/>
          <w:sz w:val="21"/>
          <w:szCs w:val="21"/>
        </w:rPr>
        <w:t xml:space="preserve">A continuación se describen los casos de uso principales, indicando para cada uno su actor, su precondición y cómo funciona su flujo.</w:t>
      </w:r>
    </w:p>
    <w:p>
      <w:pPr>
        <w:keepNext/>
        <w:spacing w:after="60" w:line="276" w:before="160"/>
        <w:jc w:val="both"/>
      </w:pPr>
      <w:r>
        <w:rPr>
          <w:rFonts w:ascii="Calibri" w:cs="Calibri" w:eastAsia="Calibri" w:hAnsi="Calibri"/>
          <w:b w:val="true"/>
          <w:bCs w:val="true"/>
          <w:i w:val="false"/>
          <w:iCs w:val="false"/>
          <w:color w:val="222222"/>
          <w:sz w:val="21"/>
          <w:szCs w:val="21"/>
        </w:rPr>
        <w:t xml:space="preserve">UC1 — Buscar y comparar precios de perfumes</w:t>
      </w:r>
    </w:p>
    <w:p>
      <w:pPr>
        <w:spacing w:after="160" w:line="276"/>
        <w:jc w:val="both"/>
      </w:pPr>
      <w:r>
        <w:rPr>
          <w:rFonts w:ascii="Calibri" w:cs="Calibri" w:eastAsia="Calibri" w:hAnsi="Calibri"/>
          <w:b w:val="false"/>
          <w:bCs w:val="false"/>
          <w:i w:val="false"/>
          <w:iCs w:val="false"/>
          <w:color w:val="222222"/>
          <w:sz w:val="21"/>
          <w:szCs w:val="21"/>
        </w:rPr>
        <w:t xml:space="preserve">El actor es el Usuario Visitante. Este caso de uso permite encontrar un perfume por nombre, marca o notas y comparar su precio entre las tiendas indexadas. Como precondición, el catálogo debe tener al menos un producto cargado mediante Web Scraping (UC7). El flujo normal comienza cuando el usuario ingresa un término de búsqueda o elige una categoría; el sistema consulta la base de datos y muestra los productos que coinciden, el usuario selecciona uno y el sistema muestra su ficha (UC2) con el precio de cada tienda, ordenado de menor a mayor y junto al Trust Score de cada una. Luego el usuario elige una tienda y es redirigido al sitio externo para completar la compra (RF-06). Si no hay coincidencias, el sistema avisa que no se encontraron resultados y sugiere ajustar la búsqueda. Al terminar, el usuario ya vio el comparativo de precios y puede seguir con la compra en el sitio que prefiera.</w:t>
      </w:r>
    </w:p>
    <w:p>
      <w:pPr>
        <w:keepNext/>
        <w:spacing w:after="60" w:line="276" w:before="160"/>
        <w:jc w:val="both"/>
      </w:pPr>
      <w:r>
        <w:rPr>
          <w:rFonts w:ascii="Calibri" w:cs="Calibri" w:eastAsia="Calibri" w:hAnsi="Calibri"/>
          <w:b w:val="true"/>
          <w:bCs w:val="true"/>
          <w:i w:val="false"/>
          <w:iCs w:val="false"/>
          <w:color w:val="222222"/>
          <w:sz w:val="21"/>
          <w:szCs w:val="21"/>
        </w:rPr>
        <w:t xml:space="preserve">UC3 — Consultar Trust Score de una tienda</w:t>
      </w:r>
    </w:p>
    <w:p>
      <w:pPr>
        <w:spacing w:after="160" w:line="276"/>
        <w:jc w:val="both"/>
      </w:pPr>
      <w:r>
        <w:rPr>
          <w:rFonts w:ascii="Calibri" w:cs="Calibri" w:eastAsia="Calibri" w:hAnsi="Calibri"/>
          <w:b w:val="false"/>
          <w:bCs w:val="false"/>
          <w:i w:val="false"/>
          <w:iCs w:val="false"/>
          <w:color w:val="222222"/>
          <w:sz w:val="21"/>
          <w:szCs w:val="21"/>
        </w:rPr>
        <w:t xml:space="preserve">El actor es el Usuario Visitante. Este caso de uso permite revisar el nivel de confianza de una tienda antes de decidir la compra, y requiere que el Trust Score ya haya sido calculado por el sistema (UC8). El usuario ve un resultado de precio junto al indicador de Trust Score de la tienda y lo selecciona para ver el detalle; entonces el sistema muestra los indicadores públicos considerados (antigüedad del dominio, SSL y canal formal) y el nivel resultante, por ejemplo Confirmado o Riesgo Alto. Si la tienda tiene un riesgo elevado, el sistema resalta la alerta de forma visual (RF-09). Con esto el usuario cuenta con información adicional, de carácter referencial, para evaluar si la tienda es confiable.</w:t>
      </w:r>
    </w:p>
    <w:p>
      <w:pPr>
        <w:keepNext/>
        <w:spacing w:after="60" w:line="276" w:before="160"/>
        <w:jc w:val="both"/>
      </w:pPr>
      <w:r>
        <w:rPr>
          <w:rFonts w:ascii="Calibri" w:cs="Calibri" w:eastAsia="Calibri" w:hAnsi="Calibri"/>
          <w:b w:val="true"/>
          <w:bCs w:val="true"/>
          <w:i w:val="false"/>
          <w:iCs w:val="false"/>
          <w:color w:val="222222"/>
          <w:sz w:val="21"/>
          <w:szCs w:val="21"/>
        </w:rPr>
        <w:t xml:space="preserve">UC4 — Consultar Radar de Tendencias (Hype Radar)</w:t>
      </w:r>
    </w:p>
    <w:p>
      <w:pPr>
        <w:spacing w:after="160" w:line="276"/>
        <w:jc w:val="both"/>
      </w:pPr>
      <w:r>
        <w:rPr>
          <w:rFonts w:ascii="Calibri" w:cs="Calibri" w:eastAsia="Calibri" w:hAnsi="Calibri"/>
          <w:b w:val="false"/>
          <w:bCs w:val="false"/>
          <w:i w:val="false"/>
          <w:iCs w:val="false"/>
          <w:color w:val="222222"/>
          <w:sz w:val="21"/>
          <w:szCs w:val="21"/>
        </w:rPr>
        <w:t xml:space="preserve">El actor es el Usuario Visitante. Este caso de uso permite ver qué fragancias están ganando popularidad en YouTube, filtrando por periodo de tiempo, y requiere que el Hype Score de al menos una fragancia ya haya sido calculado (UC9). El usuario entra a la sección Hype Radar y elige un periodo (semana, mes o año); el sistema muestra el ranking de fragancias ordenado por Hype Score, con métricas de respaldo como las menciones y el crecimiento. Luego el usuario puede seleccionar una fragancia y es llevado a su ficha en el comparador de precios (UC1 y RF-12). Así identifica las fragancias en tendencia y puede pasar a comparar precios.</w:t>
      </w:r>
    </w:p>
    <w:p>
      <w:pPr>
        <w:keepNext/>
        <w:spacing w:after="60" w:line="276" w:before="160"/>
        <w:jc w:val="both"/>
      </w:pPr>
      <w:r>
        <w:rPr>
          <w:rFonts w:ascii="Calibri" w:cs="Calibri" w:eastAsia="Calibri" w:hAnsi="Calibri"/>
          <w:b w:val="true"/>
          <w:bCs w:val="true"/>
          <w:i w:val="false"/>
          <w:iCs w:val="false"/>
          <w:color w:val="222222"/>
          <w:sz w:val="21"/>
          <w:szCs w:val="21"/>
        </w:rPr>
        <w:t xml:space="preserve">UC5 / UC6 — Registrarse, iniciar sesión y configurar alertas</w:t>
      </w:r>
    </w:p>
    <w:p>
      <w:pPr>
        <w:spacing w:after="160" w:line="276"/>
        <w:jc w:val="both"/>
      </w:pPr>
      <w:r>
        <w:rPr>
          <w:rFonts w:ascii="Calibri" w:cs="Calibri" w:eastAsia="Calibri" w:hAnsi="Calibri"/>
          <w:b w:val="false"/>
          <w:bCs w:val="false"/>
          <w:i w:val="false"/>
          <w:iCs w:val="false"/>
          <w:color w:val="222222"/>
          <w:sz w:val="21"/>
          <w:szCs w:val="21"/>
        </w:rPr>
        <w:t xml:space="preserve">Participan el Usuario Visitante y el Usuario Registrado. Este caso de uso permite crear una cuenta, iniciar sesión y, una vez autenticado, guardar favoritos y configurar alertas de precio meta. Para el UC6 el usuario debe haber completado antes el UC5 (relación &lt;&lt;include&gt;&gt;), es decir, estar registrado y autenticado. El visitante elige “Registrarse” o “Iniciar sesión” y el sistema valida las credenciales (RNF-03) y da acceso a la cuenta; después el usuario registrado marca un perfume como favorito o define un precio meta, y el sistema guarda la preferencia y genera una alerta cuando el precio meta se alcanza (RF-15). Si las credenciales son inválidas, el sistema informa el error y deja reintentar. Al final el usuario tiene una cuenta activa y sus favoritos y alertas quedan guardados para las próximas sesiones.</w:t>
      </w:r>
    </w:p>
    <w:p>
      <w:pPr>
        <w:pStyle w:val="Heading2"/>
        <w:spacing w:after="120" w:before="260"/>
      </w:pPr>
      <w:r>
        <w:rPr>
          <w:rFonts w:ascii="Cambria" w:cs="Cambria" w:eastAsia="Cambria" w:hAnsi="Cambria"/>
          <w:b/>
          <w:bCs/>
          <w:color w:val="16283F"/>
          <w:sz w:val="24"/>
          <w:szCs w:val="24"/>
        </w:rPr>
        <w:t xml:space="preserve">7.4 Casos de uso del sistema (automatizados)</w:t>
      </w:r>
    </w:p>
    <w:p>
      <w:pPr>
        <w:spacing w:after="160" w:line="276"/>
        <w:jc w:val="both"/>
      </w:pPr>
      <w:r>
        <w:rPr>
          <w:rFonts w:ascii="Calibri" w:cs="Calibri" w:eastAsia="Calibri" w:hAnsi="Calibri"/>
          <w:b w:val="false"/>
          <w:bCs w:val="false"/>
          <w:i w:val="false"/>
          <w:iCs w:val="false"/>
          <w:color w:val="222222"/>
          <w:sz w:val="21"/>
          <w:szCs w:val="21"/>
        </w:rPr>
        <w:t xml:space="preserve">Los siguientes casos de uso son ejecutados por el Motor de Scraping / IA de forma programada, sin intervención directa del usuario, y sostienen a los casos de uso 7.3 descritos anteriormente.</w:t>
      </w:r>
    </w:p>
    <w:p>
      <w:pPr>
        <w:spacing w:after="160" w:line="276"/>
        <w:jc w:val="both"/>
      </w:pPr>
      <w:r>
        <w:rPr>
          <w:rFonts w:ascii="Calibri" w:cs="Calibri" w:eastAsia="Calibri" w:hAnsi="Calibri"/>
          <w:b w:val="false"/>
          <w:bCs w:val="false"/>
          <w:i w:val="false"/>
          <w:iCs w:val="false"/>
          <w:color w:val="222222"/>
          <w:sz w:val="21"/>
          <w:szCs w:val="21"/>
        </w:rPr>
        <w:t xml:space="preserve">El UC7, Actualizar catálogo (Web Scraping), se ejecuta de forma programada y periódica: extrae precios, stock y catálogo de las tiendas configuradas y actualiza la base de datos (RF-17, RF-18 y RF-19). El UC8, Calcular Trust Score de tiendas, se ejecuta de forma programada o después del UC7 y evalúa los indicadores públicos de cada tienda para actualizar su índice de confianza (RF-07). El UC9, Calcular Hype Score, también es periódico: consulta la API de YouTube Data, calcula el volumen y el crecimiento de menciones por fragancia y actualiza el ranking (RF-10).</w:t>
      </w:r>
    </w:p>
    <w:p>
      <w:pPr>
        <w:pStyle w:val="Heading1"/>
        <w:pageBreakBefore/>
        <w:pBdr>
          <w:bottom w:val="single" w:color="1F3A5F" w:sz="8" w:space="4"/>
        </w:pBdr>
        <w:spacing w:after="160" w:before="380"/>
      </w:pPr>
      <w:r>
        <w:rPr>
          <w:rFonts w:ascii="Cambria" w:cs="Cambria" w:eastAsia="Cambria" w:hAnsi="Cambria"/>
          <w:b/>
          <w:bCs/>
          <w:color w:val="1F3A5F"/>
          <w:sz w:val="30"/>
          <w:szCs w:val="30"/>
        </w:rPr>
        <w:t xml:space="preserve">8. Trazabilidad Objetivos – Requisitos</w:t>
      </w:r>
    </w:p>
    <w:p>
      <w:pPr>
        <w:spacing w:after="160" w:line="276"/>
        <w:jc w:val="both"/>
      </w:pPr>
      <w:r>
        <w:rPr>
          <w:rFonts w:ascii="Calibri" w:cs="Calibri" w:eastAsia="Calibri" w:hAnsi="Calibri"/>
          <w:b w:val="false"/>
          <w:bCs w:val="false"/>
          <w:i w:val="false"/>
          <w:iCs w:val="false"/>
          <w:color w:val="222222"/>
          <w:sz w:val="21"/>
          <w:szCs w:val="21"/>
        </w:rPr>
        <w:t xml:space="preserve">En esta sección se verifica que cada objetivo específico esté respaldado por al menos un requisito funcional y, cuando corresponde, por requisitos no funcionales asociados.</w:t>
      </w:r>
    </w:p>
    <w:p>
      <w:pPr>
        <w:spacing w:after="160" w:line="276"/>
        <w:jc w:val="both"/>
      </w:pPr>
      <w:r>
        <w:rPr>
          <w:rFonts w:ascii="Calibri" w:cs="Calibri" w:eastAsia="Calibri" w:hAnsi="Calibri"/>
          <w:b w:val="false"/>
          <w:bCs w:val="false"/>
          <w:i w:val="false"/>
          <w:iCs w:val="false"/>
          <w:color w:val="222222"/>
          <w:sz w:val="21"/>
          <w:szCs w:val="21"/>
        </w:rPr>
        <w:t xml:space="preserve">El OBJ-01 (Web Scraping) se cubre con los requisitos funcionales RF-01 a RF-06 y RF-17 a RF-19, y con los no funcionales RNF-04, RNF-07 y RNF-12. El OBJ-02 (Hype Radar) se respalda en los RF-10, RF-11 y RF-12, junto con los RNF-06 y RNF-10. El OBJ-03 (Trust Score) corresponde a los RF-07, RF-08 y RF-09, y al RNF-05. El OBJ-04 (base de datos y APIs) se relaciona con los RF-05, RF-17 y RF-18, además de los RNF-01 y RNF-02. El OBJ-05 (interfaz en Streamlit) se apoya en los RF-01, RF-02 y RF-16, y en los RNF-08 y RNF-11. Finalmente, el OBJ-06 (CI/CD en GitHub) se cubre con el RF-13, por la trazabilidad de acceso, y con los RNF-09 y RNF-03.</w:t>
      </w:r>
    </w:p>
    <w:sectPr>
      <w:headerReference w:type="default" r:id="rId7"/>
      <w:footerReference w:type="default" r:id="rId8"/>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2"/>
        <w:sz w:val="16"/>
        <w:szCs w:val="16"/>
      </w:rPr>
      <w:t xml:space="preserve">Página </w:t>
    </w:r>
    <w:r>
      <w:rPr>
        <w:rFonts w:ascii="Calibri" w:cs="Calibri" w:eastAsia="Calibri" w:hAnsi="Calibri"/>
        <w:color w:val="5B6672"/>
        <w:sz w:val="16"/>
        <w:szCs w:val="16"/>
      </w:rPr>
      <w:fldChar w:fldCharType="begin"/>
      <w:instrText xml:space="preserve">PAGE</w:instrText>
      <w:fldChar w:fldCharType="separate"/>
      <w:fldChar w:fldCharType="end"/>
    </w:r>
    <w:r>
      <w:rPr>
        <w:rFonts w:ascii="Calibri" w:cs="Calibri" w:eastAsia="Calibri" w:hAnsi="Calibri"/>
        <w:color w:val="5B6672"/>
        <w:sz w:val="16"/>
        <w:szCs w:val="16"/>
      </w:rPr>
      <w:t xml:space="preserve"> de </w:t>
    </w:r>
    <w:r>
      <w:rPr>
        <w:rFonts w:ascii="Calibri" w:cs="Calibri" w:eastAsia="Calibri" w:hAnsi="Calibri"/>
        <w:color w:val="5B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3CF" w:sz="4" w:space="4"/>
      </w:pBdr>
      <w:jc w:val="right"/>
    </w:pPr>
    <w:r>
      <w:rPr>
        <w:rFonts w:ascii="Calibri" w:cs="Calibri" w:eastAsia="Calibri" w:hAnsi="Calibri"/>
        <w:color w:val="5B6672"/>
        <w:sz w:val="16"/>
        <w:szCs w:val="16"/>
      </w:rPr>
      <w:t xml:space="preserve">PerfumeTrending — Documento de Requerimientos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6f3904cf7212986835b9e62ade6a79953ffd7.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2026-09-23T18:30:00.284Z</dcterms:created>
  <dcterms:modified xsi:type="dcterms:W3CDTF">2026-09-23T18:30:00.294Z</dcterms:modified>
</cp:coreProperties>
</file>

<file path=docProps/custom.xml><?xml version="1.0" encoding="utf-8"?>
<Properties xmlns="http://schemas.openxmlformats.org/officeDocument/2006/custom-properties" xmlns:vt="http://schemas.openxmlformats.org/officeDocument/2006/docPropsVTypes"/>
</file>