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Probabilistic Market-State Dynamics Inspired by Wavefunction Collapse</w:t>
      </w:r>
    </w:p>
    <w:p>
      <w:pPr>
        <w:jc w:val="center"/>
      </w:pPr>
      <w:r>
        <w:rPr>
          <w:i/>
          <w:sz w:val="22"/>
        </w:rPr>
        <w:t>A Physics-Inspired Framework for Conditional Price-Zone Probabilities</w:t>
      </w:r>
    </w:p>
    <w:p>
      <w:pPr>
        <w:jc w:val="center"/>
      </w:pPr>
      <w:r>
        <w:rPr>
          <w:b/>
        </w:rPr>
        <w:t>Research Draft — empirical results intentionally not fabricated</w:t>
      </w:r>
    </w:p>
    <w:p/>
    <w:p>
      <w:pPr>
        <w:pStyle w:val="Heading1"/>
      </w:pPr>
      <w:r>
        <w:t>Abstract</w:t>
      </w:r>
    </w:p>
    <w:p>
      <w:r>
        <w:t>Financial price evolution is uncertain, path-dependent, and subject to changing market conditions. This paper proposes a physics-inspired probabilistic framework in which the current market is represented not by a single deterministic future trajectory, but by a probability distribution over a set of candidate future price zones. The framework does not claim that financial markets are quantum systems or that microscopic quantum mechanics governs asset prices. Instead, the wavefunction-collapse analogy is used as an explanatory abstraction for conditional uncertainty: before new information arrives, multiple future states remain possible; as the observable market state changes, their conditional probabilities are updated. The proposed model converts measurable market-state variables—price movement intensity, directional efficiency, zone size, distance to candidate zones, and volatility—into conditional probabilities of zone interaction. The paper formalizes the model, identifies falsifiable hypotheses, proposes calibration and ablation tests, and defines safeguards against the common error of treating model confidence as certainty. The primary research question is whether a structured probabilistic state representation provides information about future zone interaction beyond simple baselines.</w:t>
      </w:r>
    </w:p>
    <w:p>
      <w:pPr>
        <w:pStyle w:val="Heading1"/>
      </w:pPr>
      <w:r>
        <w:t>1. Introduction</w:t>
      </w:r>
    </w:p>
    <w:p>
      <w:r>
        <w:t>A central difficulty in financial forecasting is that the same observed price pattern can be followed by different outcomes. A deterministic rule therefore tends to hide uncertainty rather than remove it. A probabilistic model can instead represent several plausible outcomes and update their relative probabilities as new observations arrive.</w:t>
        <w:br/>
        <w:br/>
        <w:t>The present work starts from an intuitive analogy to particle physics: a system may be represented as a distribution over possible states until an observation changes the information available about that system. Similar analogical reasoning has appeared in financial modeling, including explicit quantum-inspired price models. Subias (2019), for example, formulated a price distribution using a wavefunction analogy, while Lin (2024) developed a quantum-probability formulation without requiring literal microscopic quantum effects. These works motivate the use of the analogy but do not establish that market prices are physically quantum phenomena. The present framework therefore treats the analogy as conceptual rather than ontological.</w:t>
        <w:br/>
        <w:br/>
        <w:t>The proposed system focuses on a narrower and empirically testable object: the probability that price reaches a specified zone within a defined horizon, conditional on the current observable market state.</w:t>
      </w:r>
    </w:p>
    <w:p>
      <w:pPr>
        <w:pStyle w:val="Heading1"/>
      </w:pPr>
      <w:r>
        <w:t>2. Research Objectives</w:t>
      </w:r>
    </w:p>
    <w:p>
      <w:pPr>
        <w:pStyle w:val="ListBullet"/>
      </w:pPr>
      <w:r>
        <w:t>Define a measurable market-state vector capable of representing movement intensity, directionality, zone characteristics, and spatial distance.</w:t>
      </w:r>
    </w:p>
    <w:p>
      <w:pPr>
        <w:pStyle w:val="ListBullet"/>
      </w:pPr>
      <w:r>
        <w:t>Construct a conditional probability function for future interaction with candidate price zones.</w:t>
      </w:r>
    </w:p>
    <w:p>
      <w:pPr>
        <w:pStyle w:val="ListBullet"/>
      </w:pPr>
      <w:r>
        <w:t>Determine whether the probability estimates are calibrated out of sample.</w:t>
      </w:r>
    </w:p>
    <w:p>
      <w:pPr>
        <w:pStyle w:val="ListBullet"/>
      </w:pPr>
      <w:r>
        <w:t>Measure the marginal contribution of individual state variables through ablation experiments.</w:t>
      </w:r>
    </w:p>
    <w:p>
      <w:pPr>
        <w:pStyle w:val="ListBullet"/>
      </w:pPr>
      <w:r>
        <w:t>Compare manually specified weighting schemes against data-estimated models.</w:t>
      </w:r>
    </w:p>
    <w:p>
      <w:pPr>
        <w:pStyle w:val="ListBullet"/>
      </w:pPr>
      <w:r>
        <w:t>Determine whether probability estimates remain informative across assets, timeframes, and market regimes.</w:t>
      </w:r>
    </w:p>
    <w:p>
      <w:pPr>
        <w:pStyle w:val="Heading1"/>
      </w:pPr>
      <w:r>
        <w:t>3. Mathematical Formulation</w:t>
      </w:r>
    </w:p>
    <w:p>
      <w:r>
        <w:t>Let the observable market state at time t be:</w:t>
      </w:r>
    </w:p>
    <w:p>
      <w:pPr>
        <w:jc w:val="center"/>
      </w:pPr>
      <w:r>
        <w:rPr>
          <w:rFonts w:ascii="Cambria Math" w:hAnsi="Cambria Math"/>
          <w:i/>
        </w:rPr>
        <w:t>X_t = [V_t, E_t, L_t, D_t, σ_t, A_t, R_t, …]</w:t>
      </w:r>
    </w:p>
    <w:p>
      <w:r>
        <w:t>where V_t represents movement intensity or velocity, E_t directional efficiency, L_t a measurable zone-size or liquidity-proxy variable, D_t distance from the current price to a candidate zone, σ_t local volatility, A_t optional acceleration or persistence features, and R_t a regime descriptor. The exact feature set should be fixed before final evaluation to avoid post-hoc feature selection.</w:t>
      </w:r>
    </w:p>
    <w:p>
      <w:r>
        <w:t>For candidate zone Z_i and horizon H, define the binary event:</w:t>
      </w:r>
    </w:p>
    <w:p>
      <w:pPr>
        <w:jc w:val="center"/>
      </w:pPr>
      <w:r>
        <w:rPr>
          <w:rFonts w:ascii="Cambria Math" w:hAnsi="Cambria Math"/>
          <w:i/>
        </w:rPr>
        <w:t>Y_i(t,H) = 1{τ_i ≤ H}</w:t>
      </w:r>
    </w:p>
    <w:p>
      <w:r>
        <w:t>where τ_i is the first passage time from the observation time to zone Z_i. The target probability is therefore:</w:t>
      </w:r>
    </w:p>
    <w:p>
      <w:pPr>
        <w:jc w:val="center"/>
      </w:pPr>
      <w:r>
        <w:rPr>
          <w:rFonts w:ascii="Cambria Math" w:hAnsi="Cambria Math"/>
          <w:i/>
        </w:rPr>
        <w:t>p_i(t,H) = P(Y_i(t,H)=1 | X_t)</w:t>
      </w:r>
    </w:p>
    <w:p>
      <w:r>
        <w:t>A generic parameterized model may be written as a logistic transformation:</w:t>
      </w:r>
    </w:p>
    <w:p>
      <w:pPr>
        <w:jc w:val="center"/>
      </w:pPr>
      <w:r>
        <w:rPr>
          <w:rFonts w:ascii="Cambria Math" w:hAnsi="Cambria Math"/>
          <w:i/>
        </w:rPr>
        <w:t>p_i = σ(β_0 + βᵀφ(X_t,Z_i))</w:t>
      </w:r>
    </w:p>
    <w:p>
      <w:r>
        <w:t>where φ contains transformed and interaction features and σ(u)=1/(1+e^(−u)). More flexible models may replace the logistic link with tree ensembles, neural networks, generalized additive models, or Bayesian models. The research question is not whether a particular algorithm is fashionable, but whether the conditional probability contains stable out-of-sample information.</w:t>
      </w:r>
    </w:p>
    <w:p>
      <w:pPr>
        <w:pStyle w:val="Heading1"/>
      </w:pPr>
      <w:r>
        <w:t>4. Market-State Variables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Variable</w:t>
            </w:r>
          </w:p>
        </w:tc>
        <w:tc>
          <w:tcPr>
            <w:tcW w:type="dxa" w:w="2448"/>
          </w:tcPr>
          <w:p>
            <w:r>
              <w:t>Conceptual definition</w:t>
            </w:r>
          </w:p>
        </w:tc>
        <w:tc>
          <w:tcPr>
            <w:tcW w:type="dxa" w:w="2448"/>
          </w:tcPr>
          <w:p>
            <w:r>
              <w:t>Example measurement</w:t>
            </w:r>
          </w:p>
        </w:tc>
        <w:tc>
          <w:tcPr>
            <w:tcW w:type="dxa" w:w="2448"/>
          </w:tcPr>
          <w:p>
            <w:r>
              <w:t>Risk</w:t>
            </w:r>
          </w:p>
        </w:tc>
      </w:tr>
      <w:tr>
        <w:tc>
          <w:tcPr>
            <w:tcW w:type="dxa" w:w="2448"/>
          </w:tcPr>
          <w:p>
            <w:r>
              <w:t>Movement intensity</w:t>
            </w:r>
          </w:p>
        </w:tc>
        <w:tc>
          <w:tcPr>
            <w:tcW w:type="dxa" w:w="2448"/>
          </w:tcPr>
          <w:p>
            <w:r>
              <w:t>Magnitude of recent price displacement</w:t>
            </w:r>
          </w:p>
        </w:tc>
        <w:tc>
          <w:tcPr>
            <w:tcW w:type="dxa" w:w="2448"/>
          </w:tcPr>
          <w:p>
            <w:r>
              <w:t>|ΔP| or normalized return</w:t>
            </w:r>
          </w:p>
        </w:tc>
        <w:tc>
          <w:tcPr>
            <w:tcW w:type="dxa" w:w="2448"/>
          </w:tcPr>
          <w:p>
            <w:r>
              <w:t>Scale dependence</w:t>
            </w:r>
          </w:p>
        </w:tc>
      </w:tr>
      <w:tr>
        <w:tc>
          <w:tcPr>
            <w:tcW w:type="dxa" w:w="2448"/>
          </w:tcPr>
          <w:p>
            <w:r>
              <w:t>Directional efficiency</w:t>
            </w:r>
          </w:p>
        </w:tc>
        <w:tc>
          <w:tcPr>
            <w:tcW w:type="dxa" w:w="2448"/>
          </w:tcPr>
          <w:p>
            <w:r>
              <w:t>Net displacement relative to total path length</w:t>
            </w:r>
          </w:p>
        </w:tc>
        <w:tc>
          <w:tcPr>
            <w:tcW w:type="dxa" w:w="2448"/>
          </w:tcPr>
          <w:p>
            <w:r>
              <w:t>|P_t-P_{t-n}| / Σ|ΔP|</w:t>
            </w:r>
          </w:p>
        </w:tc>
        <w:tc>
          <w:tcPr>
            <w:tcW w:type="dxa" w:w="2448"/>
          </w:tcPr>
          <w:p>
            <w:r>
              <w:t>Window sensitivity</w:t>
            </w:r>
          </w:p>
        </w:tc>
      </w:tr>
      <w:tr>
        <w:tc>
          <w:tcPr>
            <w:tcW w:type="dxa" w:w="2448"/>
          </w:tcPr>
          <w:p>
            <w:r>
              <w:t>Zone size</w:t>
            </w:r>
          </w:p>
        </w:tc>
        <w:tc>
          <w:tcPr>
            <w:tcW w:type="dxa" w:w="2448"/>
          </w:tcPr>
          <w:p>
            <w:r>
              <w:t>Width of candidate interaction region</w:t>
            </w:r>
          </w:p>
        </w:tc>
        <w:tc>
          <w:tcPr>
            <w:tcW w:type="dxa" w:w="2448"/>
          </w:tcPr>
          <w:p>
            <w:r>
              <w:t>Normalized price width</w:t>
            </w:r>
          </w:p>
        </w:tc>
        <w:tc>
          <w:tcPr>
            <w:tcW w:type="dxa" w:w="2448"/>
          </w:tcPr>
          <w:p>
            <w:r>
              <w:t>May not equal actual liquidity</w:t>
            </w:r>
          </w:p>
        </w:tc>
      </w:tr>
      <w:tr>
        <w:tc>
          <w:tcPr>
            <w:tcW w:type="dxa" w:w="2448"/>
          </w:tcPr>
          <w:p>
            <w:r>
              <w:t>Distance</w:t>
            </w:r>
          </w:p>
        </w:tc>
        <w:tc>
          <w:tcPr>
            <w:tcW w:type="dxa" w:w="2448"/>
          </w:tcPr>
          <w:p>
            <w:r>
              <w:t>Current price to candidate zone</w:t>
            </w:r>
          </w:p>
        </w:tc>
        <w:tc>
          <w:tcPr>
            <w:tcW w:type="dxa" w:w="2448"/>
          </w:tcPr>
          <w:p>
            <w:r>
              <w:t>|P_t-Z_i| / volatility</w:t>
            </w:r>
          </w:p>
        </w:tc>
        <w:tc>
          <w:tcPr>
            <w:tcW w:type="dxa" w:w="2448"/>
          </w:tcPr>
          <w:p>
            <w:r>
              <w:t>Nonlinear effect likely</w:t>
            </w:r>
          </w:p>
        </w:tc>
      </w:tr>
      <w:tr>
        <w:tc>
          <w:tcPr>
            <w:tcW w:type="dxa" w:w="2448"/>
          </w:tcPr>
          <w:p>
            <w:r>
              <w:t>Volatility</w:t>
            </w:r>
          </w:p>
        </w:tc>
        <w:tc>
          <w:tcPr>
            <w:tcW w:type="dxa" w:w="2448"/>
          </w:tcPr>
          <w:p>
            <w:r>
              <w:t>Recent dispersion of price movement</w:t>
            </w:r>
          </w:p>
        </w:tc>
        <w:tc>
          <w:tcPr>
            <w:tcW w:type="dxa" w:w="2448"/>
          </w:tcPr>
          <w:p>
            <w:r>
              <w:t>Realized volatility</w:t>
            </w:r>
          </w:p>
        </w:tc>
        <w:tc>
          <w:tcPr>
            <w:tcW w:type="dxa" w:w="2448"/>
          </w:tcPr>
          <w:p>
            <w:r>
              <w:t>Regime dependence</w:t>
            </w:r>
          </w:p>
        </w:tc>
      </w:tr>
      <w:tr>
        <w:tc>
          <w:tcPr>
            <w:tcW w:type="dxa" w:w="2448"/>
          </w:tcPr>
          <w:p>
            <w:r>
              <w:t>Persistence</w:t>
            </w:r>
          </w:p>
        </w:tc>
        <w:tc>
          <w:tcPr>
            <w:tcW w:type="dxa" w:w="2448"/>
          </w:tcPr>
          <w:p>
            <w:r>
              <w:t>Consistency of recent direction</w:t>
            </w:r>
          </w:p>
        </w:tc>
        <w:tc>
          <w:tcPr>
            <w:tcW w:type="dxa" w:w="2448"/>
          </w:tcPr>
          <w:p>
            <w:r>
              <w:t>Run or sign persistence</w:t>
            </w:r>
          </w:p>
        </w:tc>
        <w:tc>
          <w:tcPr>
            <w:tcW w:type="dxa" w:w="2448"/>
          </w:tcPr>
          <w:p>
            <w:r>
              <w:t>Can overlap with efficiency</w:t>
            </w:r>
          </w:p>
        </w:tc>
      </w:tr>
    </w:tbl>
    <w:p/>
    <w:p>
      <w:pPr>
        <w:pStyle w:val="Heading1"/>
      </w:pPr>
      <w:r>
        <w:t>5. The 'Collapse' Mechanism</w:t>
      </w:r>
    </w:p>
    <w:p>
      <w:r>
        <w:t>The term collapse should be interpreted operationally rather than literally. At time t, the model maintains a probability vector over candidate zones:</w:t>
      </w:r>
    </w:p>
    <w:p>
      <w:pPr>
        <w:jc w:val="center"/>
      </w:pPr>
      <w:r>
        <w:rPr>
          <w:rFonts w:ascii="Cambria Math" w:hAnsi="Cambria Math"/>
          <w:i/>
        </w:rPr>
        <w:t>P_t = [p_1, p_2, …, p_n],   Σ_i p_i = 1</w:t>
      </w:r>
    </w:p>
    <w:p>
      <w:r>
        <w:t>When a new observation arrives, the state changes from X_t to X_{t+1}, producing a new conditional distribution P_{t+1}. The analogue of observation-driven collapse is therefore a Bayesian-style or statistical update, not a physical wavefunction collapse. The framework should not claim that market observations cause quantum collapse.</w:t>
      </w:r>
    </w:p>
    <w:p>
      <w:pPr>
        <w:pStyle w:val="Heading1"/>
      </w:pPr>
      <w:r>
        <w:t>6. Candidate-Zone Selection</w:t>
      </w:r>
    </w:p>
    <w:p>
      <w:r>
        <w:t>The highest-probability zone can be identified for research purposes as:</w:t>
      </w:r>
    </w:p>
    <w:p>
      <w:pPr>
        <w:jc w:val="center"/>
      </w:pPr>
      <w:r>
        <w:rPr>
          <w:rFonts w:ascii="Cambria Math" w:hAnsi="Cambria Math"/>
          <w:i/>
        </w:rPr>
        <w:t>Z*_t = argmax_i p_i(t,H)</w:t>
      </w:r>
    </w:p>
    <w:p>
      <w:r>
        <w:t>This ranking is a mathematical selection rule, not evidence that the selected zone is certain to be reached. In particular, p=1 should not be treated as a realistic default threshold. A calibrated model may produce values close to one in some states, but empirical validation must establish whether a predicted 0.90 event occurs approximately 90% of the time under comparable conditions.</w:t>
      </w:r>
    </w:p>
    <w:p>
      <w:pPr>
        <w:pStyle w:val="Heading1"/>
      </w:pPr>
      <w:r>
        <w:t>7. Hypotheses</w:t>
      </w:r>
    </w:p>
    <w:p>
      <w:pPr>
        <w:pStyle w:val="ListNumber"/>
      </w:pPr>
      <w:r>
        <w:t>H1: A market-state model using movement intensity, directional efficiency, distance, and zone characteristics predicts zone interaction better than a naive baseline.</w:t>
      </w:r>
    </w:p>
    <w:p>
      <w:pPr>
        <w:pStyle w:val="ListNumber"/>
      </w:pPr>
      <w:r>
        <w:t>H2: Distance to the candidate zone has a nonlinear relationship with interaction probability.</w:t>
      </w:r>
    </w:p>
    <w:p>
      <w:pPr>
        <w:pStyle w:val="ListNumber"/>
      </w:pPr>
      <w:r>
        <w:t>H3: Directional efficiency provides incremental information after controlling for movement intensity and distance.</w:t>
      </w:r>
    </w:p>
    <w:p>
      <w:pPr>
        <w:pStyle w:val="ListNumber"/>
      </w:pPr>
      <w:r>
        <w:t>H4: Interaction terms between movement intensity, directional efficiency, and distance improve probabilistic calibration relative to additive-only models.</w:t>
      </w:r>
    </w:p>
    <w:p>
      <w:pPr>
        <w:pStyle w:val="ListNumber"/>
      </w:pPr>
      <w:r>
        <w:t>H5: A learned weighting scheme generalizes at least as well as manually tuned weights when evaluated on strictly out-of-sample periods.</w:t>
      </w:r>
    </w:p>
    <w:p>
      <w:pPr>
        <w:pStyle w:val="Heading1"/>
      </w:pPr>
      <w:r>
        <w:t>8. Experimental Design</w:t>
      </w:r>
    </w:p>
    <w:p>
      <w:r>
        <w:t>Use chronological walk-forward evaluation. At each evaluation date, only information available before that date may be used for feature calculation, parameter estimation, analogue selection, and calibration. Randomly shuffled train/test splits should not be the primary validation method because temporal dependence can leak information across observations.</w:t>
      </w:r>
    </w:p>
    <w:p>
      <w:pPr>
        <w:pStyle w:val="ListBullet"/>
      </w:pPr>
      <w:r>
        <w:t>Assets: begin with BTC, ETH, SOL and at least two traditional liquid markets if data quality permits.</w:t>
      </w:r>
    </w:p>
    <w:p>
      <w:pPr>
        <w:pStyle w:val="ListBullet"/>
      </w:pPr>
      <w:r>
        <w:t>Timeframes: test multiple horizons, for example 1-minute, 5-minute, 15-minute and 1-hour bars.</w:t>
      </w:r>
    </w:p>
    <w:p>
      <w:pPr>
        <w:pStyle w:val="ListBullet"/>
      </w:pPr>
      <w:r>
        <w:t>Horizons: define fixed forecast windows before evaluation.</w:t>
      </w:r>
    </w:p>
    <w:p>
      <w:pPr>
        <w:pStyle w:val="ListBullet"/>
      </w:pPr>
      <w:r>
        <w:t>Baselines: distance-only model, historical unconditional frequency, logistic regression, and a simple momentum model.</w:t>
      </w:r>
    </w:p>
    <w:p>
      <w:pPr>
        <w:pStyle w:val="ListBullet"/>
      </w:pPr>
      <w:r>
        <w:t>Validation: rolling or expanding walk-forward splits with untouched final test periods.</w:t>
      </w:r>
    </w:p>
    <w:p>
      <w:pPr>
        <w:pStyle w:val="ListBullet"/>
      </w:pPr>
      <w:r>
        <w:t>Costs: if converted into a trading simulation, include fees, spread and slippage assumptions stated before testing.</w:t>
      </w:r>
    </w:p>
    <w:p>
      <w:pPr>
        <w:pStyle w:val="Heading1"/>
      </w:pPr>
      <w:r>
        <w:t>9. Evaluation Metrics</w:t>
      </w:r>
    </w:p>
    <w:tbl>
      <w:tblPr>
        <w:tblStyle w:val="TableGrid"/>
        <w:tblW w:type="auto" w:w="0"/>
        <w:tblLook w:firstColumn="1" w:firstRow="1" w:lastColumn="0" w:lastRow="0" w:noHBand="0" w:noVBand="1" w:val="04A0"/>
      </w:tblPr>
      <w:tblGrid>
        <w:gridCol w:w="4896"/>
        <w:gridCol w:w="4896"/>
      </w:tblGrid>
      <w:tr>
        <w:tc>
          <w:tcPr>
            <w:tcW w:type="dxa" w:w="4896"/>
          </w:tcPr>
          <w:p>
            <w:r>
              <w:t>Metric</w:t>
            </w:r>
          </w:p>
        </w:tc>
        <w:tc>
          <w:tcPr>
            <w:tcW w:type="dxa" w:w="4896"/>
          </w:tcPr>
          <w:p>
            <w:r>
              <w:t>Purpose</w:t>
            </w:r>
          </w:p>
        </w:tc>
      </w:tr>
      <w:tr>
        <w:tc>
          <w:tcPr>
            <w:tcW w:type="dxa" w:w="4896"/>
          </w:tcPr>
          <w:p>
            <w:r>
              <w:t>Log loss</w:t>
            </w:r>
          </w:p>
        </w:tc>
        <w:tc>
          <w:tcPr>
            <w:tcW w:type="dxa" w:w="4896"/>
          </w:tcPr>
          <w:p>
            <w:r>
              <w:t>Penalizes incorrect high-confidence probabilities</w:t>
            </w:r>
          </w:p>
        </w:tc>
      </w:tr>
      <w:tr>
        <w:tc>
          <w:tcPr>
            <w:tcW w:type="dxa" w:w="4896"/>
          </w:tcPr>
          <w:p>
            <w:r>
              <w:t>Brier score</w:t>
            </w:r>
          </w:p>
        </w:tc>
        <w:tc>
          <w:tcPr>
            <w:tcW w:type="dxa" w:w="4896"/>
          </w:tcPr>
          <w:p>
            <w:r>
              <w:t>Measures probabilistic prediction error for binary events</w:t>
            </w:r>
          </w:p>
        </w:tc>
      </w:tr>
      <w:tr>
        <w:tc>
          <w:tcPr>
            <w:tcW w:type="dxa" w:w="4896"/>
          </w:tcPr>
          <w:p>
            <w:r>
              <w:t>Reliability diagram</w:t>
            </w:r>
          </w:p>
        </w:tc>
        <w:tc>
          <w:tcPr>
            <w:tcW w:type="dxa" w:w="4896"/>
          </w:tcPr>
          <w:p>
            <w:r>
              <w:t>Checks whether predicted probabilities correspond to observed frequencies</w:t>
            </w:r>
          </w:p>
        </w:tc>
      </w:tr>
      <w:tr>
        <w:tc>
          <w:tcPr>
            <w:tcW w:type="dxa" w:w="4896"/>
          </w:tcPr>
          <w:p>
            <w:r>
              <w:t>Expected Calibration Error</w:t>
            </w:r>
          </w:p>
        </w:tc>
        <w:tc>
          <w:tcPr>
            <w:tcW w:type="dxa" w:w="4896"/>
          </w:tcPr>
          <w:p>
            <w:r>
              <w:t>Summarizes calibration discrepancy across probability bins</w:t>
            </w:r>
          </w:p>
        </w:tc>
      </w:tr>
      <w:tr>
        <w:tc>
          <w:tcPr>
            <w:tcW w:type="dxa" w:w="4896"/>
          </w:tcPr>
          <w:p>
            <w:r>
              <w:t>Precision/recall</w:t>
            </w:r>
          </w:p>
        </w:tc>
        <w:tc>
          <w:tcPr>
            <w:tcW w:type="dxa" w:w="4896"/>
          </w:tcPr>
          <w:p>
            <w:r>
              <w:t>Useful for selected event thresholds, not a replacement for calibration</w:t>
            </w:r>
          </w:p>
        </w:tc>
      </w:tr>
      <w:tr>
        <w:tc>
          <w:tcPr>
            <w:tcW w:type="dxa" w:w="4896"/>
          </w:tcPr>
          <w:p>
            <w:r>
              <w:t>Quantile coverage</w:t>
            </w:r>
          </w:p>
        </w:tc>
        <w:tc>
          <w:tcPr>
            <w:tcW w:type="dxa" w:w="4896"/>
          </w:tcPr>
          <w:p>
            <w:r>
              <w:t>Tests whether trajectory intervals contain realized outcomes at their stated rates</w:t>
            </w:r>
          </w:p>
        </w:tc>
      </w:tr>
    </w:tbl>
    <w:p/>
    <w:p>
      <w:pPr>
        <w:pStyle w:val="Heading1"/>
      </w:pPr>
      <w:r>
        <w:t>10. Ablation and Robustness</w:t>
      </w:r>
    </w:p>
    <w:p>
      <w:r>
        <w:t>The contribution of each feature should be isolated. The full model should be compared with versions removing movement intensity, directional efficiency, zone size, distance, and interactions. Stability should also be evaluated by asset, timeframe, volatility regime, and calendar period.</w:t>
      </w:r>
    </w:p>
    <w:p>
      <w:pPr>
        <w:pStyle w:val="Heading1"/>
      </w:pPr>
      <w:r>
        <w:t>11. Failure Modes</w:t>
      </w:r>
    </w:p>
    <w:p>
      <w:pPr>
        <w:pStyle w:val="ListBullet"/>
      </w:pPr>
      <w:r>
        <w:t>Probability saturation: a numerical output near 1 may reflect model extrapolation rather than certainty.</w:t>
      </w:r>
    </w:p>
    <w:p>
      <w:pPr>
        <w:pStyle w:val="ListBullet"/>
      </w:pPr>
      <w:r>
        <w:t>Regime change: relationships learned in one market regime may fail in another.</w:t>
      </w:r>
    </w:p>
    <w:p>
      <w:pPr>
        <w:pStyle w:val="ListBullet"/>
      </w:pPr>
      <w:r>
        <w:t>Feature redundancy: velocity and efficiency may contain overlapping information.</w:t>
      </w:r>
    </w:p>
    <w:p>
      <w:pPr>
        <w:pStyle w:val="ListBullet"/>
      </w:pPr>
      <w:r>
        <w:t>Zone-definition bias: changing the definition of a zone changes the target itself.</w:t>
      </w:r>
    </w:p>
    <w:p>
      <w:pPr>
        <w:pStyle w:val="ListBullet"/>
      </w:pPr>
      <w:r>
        <w:t>Look-ahead leakage: future highs/lows or completed zones must never enter features available at prediction time.</w:t>
      </w:r>
    </w:p>
    <w:p>
      <w:pPr>
        <w:pStyle w:val="ListBullet"/>
      </w:pPr>
      <w:r>
        <w:t>Multiple testing: repeated manual tuning can manufacture apparent discoveries.</w:t>
      </w:r>
    </w:p>
    <w:p>
      <w:pPr>
        <w:pStyle w:val="Heading1"/>
      </w:pPr>
      <w:r>
        <w:t>12. Expected Contribution</w:t>
      </w:r>
    </w:p>
    <w:p>
      <w:r>
        <w:t>The intended contribution is a falsifiable framework for representing short-horizon market uncertainty as a conditional distribution over candidate price zones. The physics connection is explanatory and does not constitute evidence of quantum behavior. Scientific value would arise if the proposed state representation improves calibrated forecasting under strict out-of-sample testing and remains robust under ablation and regime changes.</w:t>
      </w:r>
    </w:p>
    <w:p>
      <w:pPr>
        <w:pStyle w:val="Heading1"/>
      </w:pPr>
      <w:r>
        <w:t>13. Limitations</w:t>
      </w:r>
    </w:p>
    <w:p>
      <w:r>
        <w:t>The framework is explicitly agnostic about market causality. Predictive association does not establish that any feature causes a price movement. Digital-asset markets are non-stationary, fragmented, and affected by structural changes. The paper therefore proposes a research program rather than claiming a universal law of price motion.</w:t>
      </w:r>
    </w:p>
    <w:p>
      <w:pPr>
        <w:pStyle w:val="Heading1"/>
      </w:pPr>
      <w:r>
        <w:t>References</w:t>
      </w:r>
    </w:p>
    <w:p>
      <w:r>
        <w:t>Subias, J. L. (2019). Quantum model for price forecasting in financial markets. arXiv:1902.10502.</w:t>
      </w:r>
    </w:p>
    <w:p>
      <w:r>
        <w:t>Lin, L. (2024). Quantum Probability Theoretic Asset Return Modeling: A Novel Schrödinger-Like Trading Equation and Multimodal Distribution. arXiv:2401.05823.</w:t>
      </w:r>
    </w:p>
    <w:p>
      <w:r>
        <w:t>Ghosh, R., &amp; Devarakonda, V. (2026). FinBench: Time-Gated Calibration and Uncertainty Benchmarking for Agentic Financial Forecasting. arXiv.</w:t>
      </w:r>
    </w:p>
    <w:p>
      <w:r>
        <w:t>Du, H. (2020). Beyond Strictly Proper Scoring Rules: The Importance of Being Local. arXiv:2012.12499.</w:t>
      </w:r>
    </w:p>
    <w:p>
      <w:r>
        <w:t>Bailey, D. H., &amp; López de Prado, M. (2014). The Deflated Sharpe Ratio: Correcting for Selection Bias, Backtest Overfitting and Non-Normality. Journal of Portfolio Management, 40(5), 94–107.</w:t>
      </w:r>
    </w:p>
    <w:p>
      <w:r>
        <w:t>Bailey, D. H., Borwein, J., López de Prado, M., &amp; Zhu, Q. J. (2015). The Probability of Backtest Overfitting. Journal of Computational Finance.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