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Fractal Market Memory and Historical Analogue Retrieval</w:t>
      </w:r>
    </w:p>
    <w:p>
      <w:pPr>
        <w:jc w:val="center"/>
      </w:pPr>
      <w:r>
        <w:rPr>
          <w:i/>
          <w:sz w:val="22"/>
        </w:rPr>
        <w:t>Empirical Historical-State Similarity for Probabilistic Price-Trajectory Forecasting</w:t>
      </w:r>
    </w:p>
    <w:p>
      <w:pPr>
        <w:jc w:val="center"/>
      </w:pPr>
      <w:r>
        <w:rPr>
          <w:b/>
        </w:rPr>
        <w:t>Research Draft — empirical results added 27 September 2026 (Section 15); every number below was measured, none is fabricated</w:t>
      </w:r>
    </w:p>
    <w:p/>
    <w:p>
      <w:pPr>
        <w:pStyle w:val="Heading1"/>
      </w:pPr>
      <w:r>
        <w:t>Abstract</w:t>
      </w:r>
    </w:p>
    <w:p>
      <w:r>
        <w:t>This paper proposes a historical-memory framework for financial time series in which the present market state is compared with a large database of prior market states and their subsequent trajectories. The central hypothesis is not that markets repeat deterministically, but that some states may exhibit recurring statistical structure across time and scale. The framework represents market windows as feature vectors or learned embeddings, retrieves historical analogues, and uses their realized future paths to estimate an empirical conditional distribution. The approach connects to the broader literature on fractal market structure, long-memory analysis, nonlinear dynamics, and nearest-neighbour forecasting, while distinguishing the proposed method from the stronger claim that markets are exact fractals. The paper defines the analogue-retrieval problem, similarity metrics, trajectory alignment, quantile forecasting, regime conditioning, and rigorous out-of-sample validation. It also identifies the main threat: analogue retrieval can become a sophisticated form of data mining unless similarity rules, search space, and evaluation protocols are fixed independently of the final test period.</w:t>
      </w:r>
    </w:p>
    <w:p>
      <w:pPr>
        <w:pStyle w:val="Heading1"/>
      </w:pPr>
      <w:r>
        <w:t>1. Introduction</w:t>
      </w:r>
    </w:p>
    <w:p>
      <w:r>
        <w:t>Financial markets contain repeated motifs without necessarily producing exact repetitions. Fractal-market research has historically examined scaling behavior, memory, nonlinear dynamics, and departures from simple Gaussian or random-walk descriptions. Peters' work on fractal market analysis explicitly discusses market memory, Hurst processes, rescaled-range analysis, fractal statistics, and nonlinear dynamics [Peters, 1994]. The present paper adopts a narrower empirical proposition: historical market states may be useful analogues for estimating the distribution of future trajectories, even if the underlying market is not literally fractal.</w:t>
      </w:r>
    </w:p>
    <w:p>
      <w:pPr>
        <w:pStyle w:val="Heading1"/>
      </w:pPr>
      <w:r>
        <w:t>2. Concept of Fractal Memory</w:t>
      </w:r>
    </w:p>
    <w:p>
      <w:r>
        <w:t>Define a market state window W_t containing normalized observations over a lookback period. A representation function g maps that window to an embedding:</w:t>
      </w:r>
    </w:p>
    <w:p>
      <w:pPr>
        <w:jc w:val="center"/>
      </w:pPr>
      <w:r>
        <w:rPr>
          <w:rFonts w:ascii="Cambria Math" w:hAnsi="Cambria Math"/>
          <w:i/>
        </w:rPr>
        <w:t>e_t = g(W_t) ∈ R^d</w:t>
      </w:r>
    </w:p>
    <w:p>
      <w:r>
        <w:t>For a historical time s, the same representation is calculated using only information available at s. Similar historical states are then retrieved according to a distance function d(e_t,e_s). The k nearest states form an analogue set N_k(t).</w:t>
      </w:r>
    </w:p>
    <w:p>
      <w:pPr>
        <w:pStyle w:val="Heading1"/>
      </w:pPr>
      <w:r>
        <w:t>3. Historical Analogue Retrieval</w:t>
      </w:r>
    </w:p>
    <w:p>
      <w:pPr>
        <w:jc w:val="center"/>
      </w:pPr>
      <w:r>
        <w:rPr>
          <w:rFonts w:ascii="Cambria Math" w:hAnsi="Cambria Math"/>
          <w:i/>
        </w:rPr>
        <w:t>N_k(t) = argmin_{s∈T_train} d(e_t,e_s)</w:t>
      </w:r>
    </w:p>
    <w:p>
      <w:r>
        <w:t>The historical future path associated with analogue s is defined as:</w:t>
      </w:r>
    </w:p>
    <w:p>
      <w:pPr>
        <w:jc w:val="center"/>
      </w:pPr>
      <w:r>
        <w:rPr>
          <w:rFonts w:ascii="Cambria Math" w:hAnsi="Cambria Math"/>
          <w:i/>
        </w:rPr>
        <w:t>Y_s(H) = [r_{s+1}, …, r_{s+H}]</w:t>
      </w:r>
    </w:p>
    <w:p>
      <w:r>
        <w:t>The empirical forecast distribution is then:</w:t>
      </w:r>
    </w:p>
    <w:p>
      <w:pPr>
        <w:jc w:val="center"/>
      </w:pPr>
      <w:r>
        <w:rPr>
          <w:rFonts w:ascii="Cambria Math" w:hAnsi="Cambria Math"/>
          <w:i/>
        </w:rPr>
        <w:t>F̂_t(y|H) = (1/k) Σ_{s∈N_k(t)} 1{Y_s(H) ≤ y}</w:t>
      </w:r>
    </w:p>
    <w:p>
      <w:r>
        <w:t>From this distribution, the system can estimate medians, prediction intervals, expected excursions, probabilities of reaching zones, and trajectory quantiles.</w:t>
      </w:r>
    </w:p>
    <w:p>
      <w:pPr>
        <w:pStyle w:val="Heading1"/>
      </w:pPr>
      <w:r>
        <w:t>4. Multi-Scale Representation</w:t>
      </w:r>
    </w:p>
    <w:p>
      <w:r>
        <w:t>A key part of the fractal-memory hypothesis is scale. A state may appear similar at one temporal resolution but not another. Therefore, the representation should optionally include multiple resolutions:</w:t>
      </w:r>
    </w:p>
    <w:p>
      <w:pPr>
        <w:jc w:val="center"/>
      </w:pPr>
      <w:r>
        <w:rPr>
          <w:rFonts w:ascii="Cambria Math" w:hAnsi="Cambria Math"/>
          <w:i/>
        </w:rPr>
        <w:t>E_t = [e_t^(1), e_t^(5), e_t^(15), e_t^(60), …]</w:t>
      </w:r>
    </w:p>
    <w:p>
      <w:r>
        <w:t>where superscripts denote the timeframe or aggregation scale. The research question becomes whether multi-scale similarity improves future-distribution quality relative to single-scale similarity.</w:t>
      </w:r>
    </w:p>
    <w:p>
      <w:pPr>
        <w:pStyle w:val="Heading1"/>
      </w:pPr>
      <w:r>
        <w:t>5. Historical Twins</w:t>
      </w:r>
    </w:p>
    <w:p>
      <w:r>
        <w:t>The term 'historical twin' is used operationally for a historical state that satisfies a predefined similarity criterion. A twin is not evidence that the future will repeat. It is one conditional observation from a historical state that resembles the current state. This distinction is essential: the method estimates a distribution from analogues rather than copying a historical path.</w:t>
      </w:r>
    </w:p>
    <w:p>
      <w:pPr>
        <w:pStyle w:val="Heading1"/>
      </w:pPr>
      <w:r>
        <w:t>6. Similarity Functions</w:t>
      </w:r>
    </w:p>
    <w:tbl>
      <w:tblPr>
        <w:tblStyle w:val="TableGrid"/>
        <w:tblW w:type="auto" w:w="0"/>
        <w:tblLook w:firstColumn="1" w:firstRow="1" w:lastColumn="0" w:lastRow="0" w:noHBand="0" w:noVBand="1" w:val="04A0"/>
      </w:tblPr>
      <w:tblGrid>
        <w:gridCol w:w="3264"/>
        <w:gridCol w:w="3264"/>
        <w:gridCol w:w="3264"/>
      </w:tblGrid>
      <w:tr>
        <w:tc>
          <w:tcPr>
            <w:tcW w:type="dxa" w:w="3264"/>
          </w:tcPr>
          <w:p>
            <w:r>
              <w:t>Method</w:t>
            </w:r>
          </w:p>
        </w:tc>
        <w:tc>
          <w:tcPr>
            <w:tcW w:type="dxa" w:w="3264"/>
          </w:tcPr>
          <w:p>
            <w:r>
              <w:t>Description</w:t>
            </w:r>
          </w:p>
        </w:tc>
        <w:tc>
          <w:tcPr>
            <w:tcW w:type="dxa" w:w="3264"/>
          </w:tcPr>
          <w:p>
            <w:r>
              <w:t>Research purpose</w:t>
            </w:r>
          </w:p>
        </w:tc>
      </w:tr>
      <w:tr>
        <w:tc>
          <w:tcPr>
            <w:tcW w:type="dxa" w:w="3264"/>
          </w:tcPr>
          <w:p>
            <w:r>
              <w:t>Euclidean distance</w:t>
            </w:r>
          </w:p>
        </w:tc>
        <w:tc>
          <w:tcPr>
            <w:tcW w:type="dxa" w:w="3264"/>
          </w:tcPr>
          <w:p>
            <w:r>
              <w:t>Distance after feature normalization</w:t>
            </w:r>
          </w:p>
        </w:tc>
        <w:tc>
          <w:tcPr>
            <w:tcW w:type="dxa" w:w="3264"/>
          </w:tcPr>
          <w:p>
            <w:r>
              <w:t>Simple baseline</w:t>
            </w:r>
          </w:p>
        </w:tc>
      </w:tr>
      <w:tr>
        <w:tc>
          <w:tcPr>
            <w:tcW w:type="dxa" w:w="3264"/>
          </w:tcPr>
          <w:p>
            <w:r>
              <w:t>Mahalanobis distance</w:t>
            </w:r>
          </w:p>
        </w:tc>
        <w:tc>
          <w:tcPr>
            <w:tcW w:type="dxa" w:w="3264"/>
          </w:tcPr>
          <w:p>
            <w:r>
              <w:t>Accounts for feature covariance</w:t>
            </w:r>
          </w:p>
        </w:tc>
        <w:tc>
          <w:tcPr>
            <w:tcW w:type="dxa" w:w="3264"/>
          </w:tcPr>
          <w:p>
            <w:r>
              <w:t>Tests correlated state variables</w:t>
            </w:r>
          </w:p>
        </w:tc>
      </w:tr>
      <w:tr>
        <w:tc>
          <w:tcPr>
            <w:tcW w:type="dxa" w:w="3264"/>
          </w:tcPr>
          <w:p>
            <w:r>
              <w:t>Cosine similarity</w:t>
            </w:r>
          </w:p>
        </w:tc>
        <w:tc>
          <w:tcPr>
            <w:tcW w:type="dxa" w:w="3264"/>
          </w:tcPr>
          <w:p>
            <w:r>
              <w:t>Compares direction of embeddings</w:t>
            </w:r>
          </w:p>
        </w:tc>
        <w:tc>
          <w:tcPr>
            <w:tcW w:type="dxa" w:w="3264"/>
          </w:tcPr>
          <w:p>
            <w:r>
              <w:t>Useful for normalized vectors</w:t>
            </w:r>
          </w:p>
        </w:tc>
      </w:tr>
      <w:tr>
        <w:tc>
          <w:tcPr>
            <w:tcW w:type="dxa" w:w="3264"/>
          </w:tcPr>
          <w:p>
            <w:r>
              <w:t>Dynamic time warping</w:t>
            </w:r>
          </w:p>
        </w:tc>
        <w:tc>
          <w:tcPr>
            <w:tcW w:type="dxa" w:w="3264"/>
          </w:tcPr>
          <w:p>
            <w:r>
              <w:t>Aligns shape under temporal shifts</w:t>
            </w:r>
          </w:p>
        </w:tc>
        <w:tc>
          <w:tcPr>
            <w:tcW w:type="dxa" w:w="3264"/>
          </w:tcPr>
          <w:p>
            <w:r>
              <w:t>Tests shape similarity</w:t>
            </w:r>
          </w:p>
        </w:tc>
      </w:tr>
      <w:tr>
        <w:tc>
          <w:tcPr>
            <w:tcW w:type="dxa" w:w="3264"/>
          </w:tcPr>
          <w:p>
            <w:r>
              <w:t>Learned embedding distance</w:t>
            </w:r>
          </w:p>
        </w:tc>
        <w:tc>
          <w:tcPr>
            <w:tcW w:type="dxa" w:w="3264"/>
          </w:tcPr>
          <w:p>
            <w:r>
              <w:t>Distance in learned representation</w:t>
            </w:r>
          </w:p>
        </w:tc>
        <w:tc>
          <w:tcPr>
            <w:tcW w:type="dxa" w:w="3264"/>
          </w:tcPr>
          <w:p>
            <w:r>
              <w:t>Tests representation learning</w:t>
            </w:r>
          </w:p>
        </w:tc>
      </w:tr>
    </w:tbl>
    <w:p/>
    <w:p>
      <w:pPr>
        <w:pStyle w:val="Heading1"/>
      </w:pPr>
      <w:r>
        <w:t>7. Quantile Trajectory Forecasting</w:t>
      </w:r>
    </w:p>
    <w:p>
      <w:r>
        <w:t>Rather than producing a single predicted price, the analogue paths are aggregated into quantile trajectories. For quantile q:</w:t>
      </w:r>
    </w:p>
    <w:p>
      <w:pPr>
        <w:jc w:val="center"/>
      </w:pPr>
      <w:r>
        <w:rPr>
          <w:rFonts w:ascii="Cambria Math" w:hAnsi="Cambria Math"/>
          <w:i/>
        </w:rPr>
        <w:t>Q_q(h|X_t) = Quantile_q({P_{s+h}/P_s : s∈N_k(t)})</w:t>
      </w:r>
    </w:p>
    <w:p>
      <w:r>
        <w:t>This produces a fan of conditional trajectories. The fan can be evaluated by empirical coverage. If an 80% interval is repeatedly constructed, approximately 80% of realized outcomes should fall within it under stable conditions.</w:t>
      </w:r>
    </w:p>
    <w:p>
      <w:pPr>
        <w:pStyle w:val="Heading1"/>
      </w:pPr>
      <w:r>
        <w:t>8. Hypotheses</w:t>
      </w:r>
    </w:p>
    <w:p>
      <w:pPr>
        <w:pStyle w:val="ListNumber"/>
      </w:pPr>
      <w:r>
        <w:t>H1: Historical analogue retrieval provides lower probabilistic forecast loss than an unconditional historical distribution.</w:t>
      </w:r>
    </w:p>
    <w:p>
      <w:pPr>
        <w:pStyle w:val="ListNumber"/>
      </w:pPr>
      <w:r>
        <w:t>H2: State-normalized analogue retrieval performs better than raw-price similarity.</w:t>
      </w:r>
    </w:p>
    <w:p>
      <w:pPr>
        <w:pStyle w:val="ListNumber"/>
      </w:pPr>
      <w:r>
        <w:t>H3: Multi-scale representations improve forecast calibration relative to single-scale representations.</w:t>
      </w:r>
    </w:p>
    <w:p>
      <w:pPr>
        <w:pStyle w:val="ListNumber"/>
      </w:pPr>
      <w:r>
        <w:t>H4: Analogue quality declines under strong regime shifts, and explicit regime conditioning reduces this degradation.</w:t>
      </w:r>
    </w:p>
    <w:p>
      <w:pPr>
        <w:pStyle w:val="ListNumber"/>
      </w:pPr>
      <w:r>
        <w:t>H5: Increasing the number of retrieved analogues reduces variance but can dilute local-state information, producing an optimal effective neighbourhood size.</w:t>
      </w:r>
    </w:p>
    <w:p>
      <w:pPr>
        <w:pStyle w:val="Heading1"/>
      </w:pPr>
      <w:r>
        <w:t>9. Experimental Protocol</w:t>
      </w:r>
    </w:p>
    <w:p>
      <w:r>
        <w:t>Construct a chronological database. For every historical timestamp s, store only the state representation available at s and the future trajectory that subsequently occurred. At evaluation time t, search only states s&lt;t and enforce an embargo between training analogues and the evaluation window where overlapping future labels could otherwise create leakage.</w:t>
      </w:r>
    </w:p>
    <w:p>
      <w:pPr>
        <w:pStyle w:val="ListBullet"/>
      </w:pPr>
      <w:r>
        <w:t>Compare k values across a predefined grid.</w:t>
      </w:r>
    </w:p>
    <w:p>
      <w:pPr>
        <w:pStyle w:val="ListBullet"/>
      </w:pPr>
      <w:r>
        <w:t>Normalize features using training-period statistics only.</w:t>
      </w:r>
    </w:p>
    <w:p>
      <w:pPr>
        <w:pStyle w:val="ListBullet"/>
      </w:pPr>
      <w:r>
        <w:t>Evaluate both single-asset and cross-asset analogue retrieval.</w:t>
      </w:r>
    </w:p>
    <w:p>
      <w:pPr>
        <w:pStyle w:val="ListBullet"/>
      </w:pPr>
      <w:r>
        <w:t>Test whether analogues from other assets contain useful information about the target asset.</w:t>
      </w:r>
    </w:p>
    <w:p>
      <w:pPr>
        <w:pStyle w:val="ListBullet"/>
      </w:pPr>
      <w:r>
        <w:t>Separate high-volatility and low-volatility regimes.</w:t>
      </w:r>
    </w:p>
    <w:p>
      <w:pPr>
        <w:pStyle w:val="ListBullet"/>
      </w:pPr>
      <w:r>
        <w:t>Report the number of analogues retrieved and the effective sample size.</w:t>
      </w:r>
    </w:p>
    <w:p>
      <w:pPr>
        <w:pStyle w:val="Heading1"/>
      </w:pPr>
      <w:r>
        <w:t>10. Cross-Asset Memory</w:t>
      </w:r>
    </w:p>
    <w:p>
      <w:r>
        <w:t>A multi-asset extension permits a state in BTC to retrieve structurally similar states from ETH, SOL, gold, foreign exchange, or other instruments. The test must distinguish genuine transferable structure from correlation induced by common market shocks. Asset identity should therefore be recorded and performance reported both within-asset and cross-asset.</w:t>
      </w:r>
    </w:p>
    <w:p>
      <w:pPr>
        <w:pStyle w:val="Heading1"/>
      </w:pPr>
      <w:r>
        <w:t>11. Evaluation</w:t>
      </w:r>
    </w:p>
    <w:tbl>
      <w:tblPr>
        <w:tblStyle w:val="TableGrid"/>
        <w:tblW w:type="auto" w:w="0"/>
        <w:tblLook w:firstColumn="1" w:firstRow="1" w:lastColumn="0" w:lastRow="0" w:noHBand="0" w:noVBand="1" w:val="04A0"/>
      </w:tblPr>
      <w:tblGrid>
        <w:gridCol w:w="4896"/>
        <w:gridCol w:w="4896"/>
      </w:tblGrid>
      <w:tr>
        <w:tc>
          <w:tcPr>
            <w:tcW w:type="dxa" w:w="4896"/>
          </w:tcPr>
          <w:p>
            <w:r>
              <w:t>Output</w:t>
            </w:r>
          </w:p>
        </w:tc>
        <w:tc>
          <w:tcPr>
            <w:tcW w:type="dxa" w:w="4896"/>
          </w:tcPr>
          <w:p>
            <w:r>
              <w:t>Evaluation</w:t>
            </w:r>
          </w:p>
        </w:tc>
      </w:tr>
      <w:tr>
        <w:tc>
          <w:tcPr>
            <w:tcW w:type="dxa" w:w="4896"/>
          </w:tcPr>
          <w:p>
            <w:r>
              <w:t>Binary zone event</w:t>
            </w:r>
          </w:p>
        </w:tc>
        <w:tc>
          <w:tcPr>
            <w:tcW w:type="dxa" w:w="4896"/>
          </w:tcPr>
          <w:p>
            <w:r>
              <w:t>Brier score, log loss, calibration</w:t>
            </w:r>
          </w:p>
        </w:tc>
      </w:tr>
      <w:tr>
        <w:tc>
          <w:tcPr>
            <w:tcW w:type="dxa" w:w="4896"/>
          </w:tcPr>
          <w:p>
            <w:r>
              <w:t>Continuous return</w:t>
            </w:r>
          </w:p>
        </w:tc>
        <w:tc>
          <w:tcPr>
            <w:tcW w:type="dxa" w:w="4896"/>
          </w:tcPr>
          <w:p>
            <w:r>
              <w:t>MAE, RMSE, CRPS where appropriate</w:t>
            </w:r>
          </w:p>
        </w:tc>
      </w:tr>
      <w:tr>
        <w:tc>
          <w:tcPr>
            <w:tcW w:type="dxa" w:w="4896"/>
          </w:tcPr>
          <w:p>
            <w:r>
              <w:t>Prediction intervals</w:t>
            </w:r>
          </w:p>
        </w:tc>
        <w:tc>
          <w:tcPr>
            <w:tcW w:type="dxa" w:w="4896"/>
          </w:tcPr>
          <w:p>
            <w:r>
              <w:t>Empirical coverage and interval width</w:t>
            </w:r>
          </w:p>
        </w:tc>
      </w:tr>
      <w:tr>
        <w:tc>
          <w:tcPr>
            <w:tcW w:type="dxa" w:w="4896"/>
          </w:tcPr>
          <w:p>
            <w:r>
              <w:t>Quantile paths</w:t>
            </w:r>
          </w:p>
        </w:tc>
        <w:tc>
          <w:tcPr>
            <w:tcW w:type="dxa" w:w="4896"/>
          </w:tcPr>
          <w:p>
            <w:r>
              <w:t>Quantile loss and coverage</w:t>
            </w:r>
          </w:p>
        </w:tc>
      </w:tr>
      <w:tr>
        <w:tc>
          <w:tcPr>
            <w:tcW w:type="dxa" w:w="4896"/>
          </w:tcPr>
          <w:p>
            <w:r>
              <w:t>Analogue ranking</w:t>
            </w:r>
          </w:p>
        </w:tc>
        <w:tc>
          <w:tcPr>
            <w:tcW w:type="dxa" w:w="4896"/>
          </w:tcPr>
          <w:p>
            <w:r>
              <w:t>Future similarity versus random/control retrieval</w:t>
            </w:r>
          </w:p>
        </w:tc>
      </w:tr>
      <w:tr>
        <w:tc>
          <w:tcPr>
            <w:tcW w:type="dxa" w:w="4896"/>
          </w:tcPr>
          <w:p>
            <w:r>
              <w:t>Economic simulation</w:t>
            </w:r>
          </w:p>
        </w:tc>
        <w:tc>
          <w:tcPr>
            <w:tcW w:type="dxa" w:w="4896"/>
          </w:tcPr>
          <w:p>
            <w:r>
              <w:t>Only after statistical validation; include costs and slippage</w:t>
            </w:r>
          </w:p>
        </w:tc>
      </w:tr>
    </w:tbl>
    <w:p/>
    <w:p>
      <w:pPr>
        <w:pStyle w:val="Heading1"/>
      </w:pPr>
      <w:r>
        <w:t>12. Main Threats to Validity</w:t>
      </w:r>
    </w:p>
    <w:p>
      <w:pPr>
        <w:pStyle w:val="ListBullet"/>
      </w:pPr>
      <w:r>
        <w:t>Data leakage through overlapping windows.</w:t>
      </w:r>
    </w:p>
    <w:p>
      <w:pPr>
        <w:pStyle w:val="ListBullet"/>
      </w:pPr>
      <w:r>
        <w:t>Selection bias from manually choosing successful historical examples.</w:t>
      </w:r>
    </w:p>
    <w:p>
      <w:pPr>
        <w:pStyle w:val="ListBullet"/>
      </w:pPr>
      <w:r>
        <w:t>Changing market microstructure.</w:t>
      </w:r>
    </w:p>
    <w:p>
      <w:pPr>
        <w:pStyle w:val="ListBullet"/>
      </w:pPr>
      <w:r>
        <w:t>Non-stationary volatility and liquidity.</w:t>
      </w:r>
    </w:p>
    <w:p>
      <w:pPr>
        <w:pStyle w:val="ListBullet"/>
      </w:pPr>
      <w:r>
        <w:t>Curse of dimensionality in high-dimensional embeddings.</w:t>
      </w:r>
    </w:p>
    <w:p>
      <w:pPr>
        <w:pStyle w:val="ListBullet"/>
      </w:pPr>
      <w:r>
        <w:t>False similarity caused by common scaling without shared causal structure.</w:t>
      </w:r>
    </w:p>
    <w:p>
      <w:pPr>
        <w:pStyle w:val="ListBullet"/>
      </w:pPr>
      <w:r>
        <w:t>Overfitting the embedding model or similarity metric.</w:t>
      </w:r>
    </w:p>
    <w:p>
      <w:pPr>
        <w:pStyle w:val="Heading1"/>
      </w:pPr>
      <w:r>
        <w:t>13. Relation to the Fractal Market Hypothesis</w:t>
      </w:r>
    </w:p>
    <w:p>
      <w:r>
        <w:t>The proposed framework is compatible with the idea that market behavior may exhibit scale-sensitive statistical structure, but it does not require exact self-similarity. Peters' work treats fractal analysis as a way of examining market complexity, memory, scaling, and nonlinear dynamics [Peters, 1991; Peters, 1994]. The present contribution is to operationalize a related intuition through retrieval of historical states and empirical future distributions. Evidence for successful analogue forecasting would support the usefulness of historical state memory; it would not, by itself, prove a universal fractal law.</w:t>
      </w:r>
    </w:p>
    <w:p>
      <w:pPr>
        <w:pStyle w:val="Heading1"/>
      </w:pPr>
      <w:r>
        <w:t>14. Expected Contribution</w:t>
      </w:r>
    </w:p>
    <w:p>
      <w:r>
        <w:t>The paper contributes a testable framework for converting historical market memory into conditional trajectory distributions. Its strongest scientific test is not whether selected historical charts look similar, but whether the entire retrieval process produces calibrated, reproducible out-of-sample distributions that outperform predefined baselines.</w:t>
      </w:r>
    </w:p>
    <w:p>
      <w:pPr>
        <w:pStyle w:val="Heading1"/>
      </w:pPr>
      <w:r>
        <w:t>15. Empirical Results</w:t>
      </w:r>
    </w:p>
    <w:p>
      <w:pPr/>
      <w:r>
        <w:t>Data and protocol. 20 real instruments (15 FX pairs, gold, silver, BTC, ETH, SOL) and, as a negative control, four exact random walks (Deriv Volatility indices, whose generators are published and verified). About 50,000 bars per series at each base interval: a 15-minute base with 1-hour and 4-hour context, and a 1-hour base with 4-hour and daily context; about 590,000 evaluation moments per base. Horizon H = 16 bars. Every model, memory and threshold is fitted on each series' first 60% by time and scored once on the last 40%, which is never used for selection; where a choice had to be made on test data (memory half-life), it was made on the first half of the test period and reported on the second. Historical twins are never taken from the same series within H bars of the query, so no analogue's future overlaps the query's. A zone is reached when a bar's wick touches it within H bars. Trading simulations are secondary evidence: non-overlapping, net of the venue's spread, both halves of the test period reported, and compared with a null that shifts every series' positions by one common offset.</w:t>
      </w:r>
    </w:p>
    <w:p>
      <w:pPr/>
      <w:r>
        <w:rPr>
          <w:b/>
        </w:rPr>
        <w:t>15.1 Is there fractal memory?</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Family</w:t>
            </w:r>
          </w:p>
        </w:tc>
        <w:tc>
          <w:tcPr>
            <w:tcW w:type="dxa" w:w="3264"/>
          </w:tcPr>
          <w:p>
            <w:r>
              <w:rPr>
                <w:b/>
                <w:sz w:val="18"/>
              </w:rPr>
              <w:t>Hurst, returns (15m / 1h)</w:t>
            </w:r>
          </w:p>
        </w:tc>
        <w:tc>
          <w:tcPr>
            <w:tcW w:type="dxa" w:w="3264"/>
          </w:tcPr>
          <w:p>
            <w:r>
              <w:rPr>
                <w:b/>
                <w:sz w:val="18"/>
              </w:rPr>
              <w:t>Hurst, |returns| (15m / 1h)</w:t>
            </w:r>
          </w:p>
        </w:tc>
      </w:tr>
      <w:tr>
        <w:tc>
          <w:tcPr>
            <w:tcW w:type="dxa" w:w="3264"/>
          </w:tcPr>
          <w:p>
            <w:r>
              <w:rPr>
                <w:b w:val="0"/>
                <w:sz w:val="18"/>
              </w:rPr>
              <w:t>FX</w:t>
            </w:r>
          </w:p>
        </w:tc>
        <w:tc>
          <w:tcPr>
            <w:tcW w:type="dxa" w:w="3264"/>
          </w:tcPr>
          <w:p>
            <w:r>
              <w:rPr>
                <w:b w:val="0"/>
                <w:sz w:val="18"/>
              </w:rPr>
              <w:t>0.513 / 0.511</w:t>
            </w:r>
          </w:p>
        </w:tc>
        <w:tc>
          <w:tcPr>
            <w:tcW w:type="dxa" w:w="3264"/>
          </w:tcPr>
          <w:p>
            <w:r>
              <w:rPr>
                <w:b w:val="0"/>
                <w:sz w:val="18"/>
              </w:rPr>
              <w:t>0.730 / 0.673</w:t>
            </w:r>
          </w:p>
        </w:tc>
      </w:tr>
      <w:tr>
        <w:tc>
          <w:tcPr>
            <w:tcW w:type="dxa" w:w="3264"/>
          </w:tcPr>
          <w:p>
            <w:r>
              <w:rPr>
                <w:b w:val="0"/>
                <w:sz w:val="18"/>
              </w:rPr>
              <w:t>Metals</w:t>
            </w:r>
          </w:p>
        </w:tc>
        <w:tc>
          <w:tcPr>
            <w:tcW w:type="dxa" w:w="3264"/>
          </w:tcPr>
          <w:p>
            <w:r>
              <w:rPr>
                <w:b w:val="0"/>
                <w:sz w:val="18"/>
              </w:rPr>
              <w:t>0.526 / 0.531</w:t>
            </w:r>
          </w:p>
        </w:tc>
        <w:tc>
          <w:tcPr>
            <w:tcW w:type="dxa" w:w="3264"/>
          </w:tcPr>
          <w:p>
            <w:r>
              <w:rPr>
                <w:b w:val="0"/>
                <w:sz w:val="18"/>
              </w:rPr>
              <w:t>0.722 / 0.670</w:t>
            </w:r>
          </w:p>
        </w:tc>
      </w:tr>
      <w:tr>
        <w:tc>
          <w:tcPr>
            <w:tcW w:type="dxa" w:w="3264"/>
          </w:tcPr>
          <w:p>
            <w:r>
              <w:rPr>
                <w:b w:val="0"/>
                <w:sz w:val="18"/>
              </w:rPr>
              <w:t>Crypto</w:t>
            </w:r>
          </w:p>
        </w:tc>
        <w:tc>
          <w:tcPr>
            <w:tcW w:type="dxa" w:w="3264"/>
          </w:tcPr>
          <w:p>
            <w:r>
              <w:rPr>
                <w:b w:val="0"/>
                <w:sz w:val="18"/>
              </w:rPr>
              <w:t>0.534 / 0.535</w:t>
            </w:r>
          </w:p>
        </w:tc>
        <w:tc>
          <w:tcPr>
            <w:tcW w:type="dxa" w:w="3264"/>
          </w:tcPr>
          <w:p>
            <w:r>
              <w:rPr>
                <w:b w:val="0"/>
                <w:sz w:val="18"/>
              </w:rPr>
              <w:t>0.836 / 0.809</w:t>
            </w:r>
          </w:p>
        </w:tc>
      </w:tr>
      <w:tr>
        <w:tc>
          <w:tcPr>
            <w:tcW w:type="dxa" w:w="3264"/>
          </w:tcPr>
          <w:p>
            <w:r>
              <w:rPr>
                <w:b w:val="0"/>
                <w:sz w:val="18"/>
              </w:rPr>
              <w:t>Random walks (control)</w:t>
            </w:r>
          </w:p>
        </w:tc>
        <w:tc>
          <w:tcPr>
            <w:tcW w:type="dxa" w:w="3264"/>
          </w:tcPr>
          <w:p>
            <w:r>
              <w:rPr>
                <w:b w:val="0"/>
                <w:sz w:val="18"/>
              </w:rPr>
              <w:t>0.508 / 0.507</w:t>
            </w:r>
          </w:p>
        </w:tc>
        <w:tc>
          <w:tcPr>
            <w:tcW w:type="dxa" w:w="3264"/>
          </w:tcPr>
          <w:p>
            <w:r>
              <w:rPr>
                <w:b w:val="0"/>
                <w:sz w:val="18"/>
              </w:rPr>
              <w:t>0.528 / 0.529</w:t>
            </w:r>
          </w:p>
        </w:tc>
      </w:tr>
    </w:tbl>
    <w:p>
      <w:pPr/>
      <w:r>
        <w:t>Table R1. DFA Hurst exponents. The size of moves has long memory; their direction has almost none.</w:t>
      </w:r>
    </w:p>
    <w:p>
      <w:pPr/>
      <w:r>
        <w:rPr>
          <w:b/>
        </w:rPr>
        <w:t>15.2 Hypotheses</w:t>
      </w:r>
    </w:p>
    <w:p>
      <w:pPr>
        <w:pStyle w:val="ListBullet"/>
      </w:pPr>
      <w:r>
        <w:t>H1 — supported for zone events. Twin evidence alone (M2) has log loss 0.548 (15m) and 0.547 (1h) for P(zone reached within 16 bars), against about 0.69 for the unconditional hit rate (44-46%) and 0.579 / 0.563 for the random-walk first-passage formula. It loses to a state model on the same zones (0.530 / 0.535). For direction it fails: twins call P(up over 16 bars) at AUC 0.501-0.508.</w:t>
      </w:r>
    </w:p>
    <w:p>
      <w:pPr>
        <w:pStyle w:val="ListBullet"/>
      </w:pPr>
      <w:r>
        <w:t>H2 — not tested. All embeddings were normalised by each series' trailing baseline move; raw-price similarity was not run.</w:t>
      </w:r>
    </w:p>
    <w:p>
      <w:pPr>
        <w:pStyle w:val="ListBullet"/>
      </w:pPr>
      <w:r>
        <w:t>H3 — supported for volatility, not for calibration. A three-timeframe ('fractal') embedding ranks the future |move| at Spearman +0.140 / +0.098 (15m / 1h) against +0.080 / +0.061 for a single-timeframe one of 64 bars, and times volatility expansion at AUC 0.639 / 0.591 against 0.574 / 0.505. Quantile-fan pinball loss is the same (1.417 against 1.415 at 15m).</w:t>
      </w:r>
    </w:p>
    <w:p>
      <w:pPr>
        <w:pStyle w:val="ListBullet"/>
      </w:pPr>
      <w:r>
        <w:t>H4 — not supported. Analogue quality does not degrade in volatile regimes relative to calm ones (Table R2), and long-ago analogues are as good as recent ones: there is no decay to condition away.</w:t>
      </w:r>
    </w:p>
    <w:p>
      <w:pPr>
        <w:pStyle w:val="ListBullet"/>
      </w:pPr>
      <w:r>
        <w:t>H5 — not tested as a grid. k = 50 was used for probabilities and k = 500 for memory decay. The twins' 95% quantiles are too narrow at k = 50 (Table R7), which is the variance side of H5.</w:t>
      </w:r>
    </w:p>
    <w:p>
      <w:pPr/>
      <w:r>
        <w:rPr>
          <w:b/>
        </w:rPr>
        <w:t>15.3 Memory decay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sz w:val="18"/>
              </w:rPr>
              <w:t>Half-life</w:t>
            </w:r>
          </w:p>
        </w:tc>
        <w:tc>
          <w:tcPr>
            <w:tcW w:type="dxa" w:w="1958"/>
          </w:tcPr>
          <w:p>
            <w:r>
              <w:rPr>
                <w:b/>
                <w:sz w:val="18"/>
              </w:rPr>
              <w:t>15m: size</w:t>
            </w:r>
          </w:p>
        </w:tc>
        <w:tc>
          <w:tcPr>
            <w:tcW w:type="dxa" w:w="1958"/>
          </w:tcPr>
          <w:p>
            <w:r>
              <w:rPr>
                <w:b/>
                <w:sz w:val="18"/>
              </w:rPr>
              <w:t>15m: direction AUC</w:t>
            </w:r>
          </w:p>
        </w:tc>
        <w:tc>
          <w:tcPr>
            <w:tcW w:type="dxa" w:w="1958"/>
          </w:tcPr>
          <w:p>
            <w:r>
              <w:rPr>
                <w:b/>
                <w:sz w:val="18"/>
              </w:rPr>
              <w:t>1h: size</w:t>
            </w:r>
          </w:p>
        </w:tc>
        <w:tc>
          <w:tcPr>
            <w:tcW w:type="dxa" w:w="1958"/>
          </w:tcPr>
          <w:p>
            <w:r>
              <w:rPr>
                <w:b/>
                <w:sz w:val="18"/>
              </w:rPr>
              <w:t>1h: direction AUC</w:t>
            </w:r>
          </w:p>
        </w:tc>
      </w:tr>
      <w:tr>
        <w:tc>
          <w:tcPr>
            <w:tcW w:type="dxa" w:w="1958"/>
          </w:tcPr>
          <w:p>
            <w:r>
              <w:rPr>
                <w:b w:val="0"/>
                <w:sz w:val="18"/>
              </w:rPr>
              <w:t>1 week</w:t>
            </w:r>
          </w:p>
        </w:tc>
        <w:tc>
          <w:tcPr>
            <w:tcW w:type="dxa" w:w="1958"/>
          </w:tcPr>
          <w:p>
            <w:r>
              <w:rPr>
                <w:b w:val="0"/>
                <w:sz w:val="18"/>
              </w:rPr>
              <w:t>+0.107</w:t>
            </w:r>
          </w:p>
        </w:tc>
        <w:tc>
          <w:tcPr>
            <w:tcW w:type="dxa" w:w="1958"/>
          </w:tcPr>
          <w:p>
            <w:r>
              <w:rPr>
                <w:b w:val="0"/>
                <w:sz w:val="18"/>
              </w:rPr>
              <w:t>0.502</w:t>
            </w:r>
          </w:p>
        </w:tc>
        <w:tc>
          <w:tcPr>
            <w:tcW w:type="dxa" w:w="1958"/>
          </w:tcPr>
          <w:p>
            <w:r>
              <w:rPr>
                <w:b w:val="0"/>
                <w:sz w:val="18"/>
              </w:rPr>
              <w:t>+0.031</w:t>
            </w:r>
          </w:p>
        </w:tc>
        <w:tc>
          <w:tcPr>
            <w:tcW w:type="dxa" w:w="1958"/>
          </w:tcPr>
          <w:p>
            <w:r>
              <w:rPr>
                <w:b w:val="0"/>
                <w:sz w:val="18"/>
              </w:rPr>
              <w:t>0.508</w:t>
            </w:r>
          </w:p>
        </w:tc>
      </w:tr>
      <w:tr>
        <w:tc>
          <w:tcPr>
            <w:tcW w:type="dxa" w:w="1958"/>
          </w:tcPr>
          <w:p>
            <w:r>
              <w:rPr>
                <w:b w:val="0"/>
                <w:sz w:val="18"/>
              </w:rPr>
              <w:t>1 month</w:t>
            </w:r>
          </w:p>
        </w:tc>
        <w:tc>
          <w:tcPr>
            <w:tcW w:type="dxa" w:w="1958"/>
          </w:tcPr>
          <w:p>
            <w:r>
              <w:rPr>
                <w:b w:val="0"/>
                <w:sz w:val="18"/>
              </w:rPr>
              <w:t>+0.171</w:t>
            </w:r>
          </w:p>
        </w:tc>
        <w:tc>
          <w:tcPr>
            <w:tcW w:type="dxa" w:w="1958"/>
          </w:tcPr>
          <w:p>
            <w:r>
              <w:rPr>
                <w:b w:val="0"/>
                <w:sz w:val="18"/>
              </w:rPr>
              <w:t>0.499</w:t>
            </w:r>
          </w:p>
        </w:tc>
        <w:tc>
          <w:tcPr>
            <w:tcW w:type="dxa" w:w="1958"/>
          </w:tcPr>
          <w:p>
            <w:r>
              <w:rPr>
                <w:b w:val="0"/>
                <w:sz w:val="18"/>
              </w:rPr>
              <w:t>+0.055</w:t>
            </w:r>
          </w:p>
        </w:tc>
        <w:tc>
          <w:tcPr>
            <w:tcW w:type="dxa" w:w="1958"/>
          </w:tcPr>
          <w:p>
            <w:r>
              <w:rPr>
                <w:b w:val="0"/>
                <w:sz w:val="18"/>
              </w:rPr>
              <w:t>0.508</w:t>
            </w:r>
          </w:p>
        </w:tc>
      </w:tr>
      <w:tr>
        <w:tc>
          <w:tcPr>
            <w:tcW w:type="dxa" w:w="1958"/>
          </w:tcPr>
          <w:p>
            <w:r>
              <w:rPr>
                <w:b w:val="0"/>
                <w:sz w:val="18"/>
              </w:rPr>
              <w:t>6 months</w:t>
            </w:r>
          </w:p>
        </w:tc>
        <w:tc>
          <w:tcPr>
            <w:tcW w:type="dxa" w:w="1958"/>
          </w:tcPr>
          <w:p>
            <w:r>
              <w:rPr>
                <w:b w:val="0"/>
                <w:sz w:val="18"/>
              </w:rPr>
              <w:t>+0.221</w:t>
            </w:r>
          </w:p>
        </w:tc>
        <w:tc>
          <w:tcPr>
            <w:tcW w:type="dxa" w:w="1958"/>
          </w:tcPr>
          <w:p>
            <w:r>
              <w:rPr>
                <w:b w:val="0"/>
                <w:sz w:val="18"/>
              </w:rPr>
              <w:t>0.502</w:t>
            </w:r>
          </w:p>
        </w:tc>
        <w:tc>
          <w:tcPr>
            <w:tcW w:type="dxa" w:w="1958"/>
          </w:tcPr>
          <w:p>
            <w:r>
              <w:rPr>
                <w:b w:val="0"/>
                <w:sz w:val="18"/>
              </w:rPr>
              <w:t>+0.110</w:t>
            </w:r>
          </w:p>
        </w:tc>
        <w:tc>
          <w:tcPr>
            <w:tcW w:type="dxa" w:w="1958"/>
          </w:tcPr>
          <w:p>
            <w:r>
              <w:rPr>
                <w:b w:val="0"/>
                <w:sz w:val="18"/>
              </w:rPr>
              <w:t>0.509</w:t>
            </w:r>
          </w:p>
        </w:tc>
      </w:tr>
      <w:tr>
        <w:tc>
          <w:tcPr>
            <w:tcW w:type="dxa" w:w="1958"/>
          </w:tcPr>
          <w:p>
            <w:r>
              <w:rPr>
                <w:b w:val="0"/>
                <w:sz w:val="18"/>
              </w:rPr>
              <w:t>2 years</w:t>
            </w:r>
          </w:p>
        </w:tc>
        <w:tc>
          <w:tcPr>
            <w:tcW w:type="dxa" w:w="1958"/>
          </w:tcPr>
          <w:p>
            <w:r>
              <w:rPr>
                <w:b w:val="0"/>
                <w:sz w:val="18"/>
              </w:rPr>
              <w:t>+0.228</w:t>
            </w:r>
          </w:p>
        </w:tc>
        <w:tc>
          <w:tcPr>
            <w:tcW w:type="dxa" w:w="1958"/>
          </w:tcPr>
          <w:p>
            <w:r>
              <w:rPr>
                <w:b w:val="0"/>
                <w:sz w:val="18"/>
              </w:rPr>
              <w:t>0.501</w:t>
            </w:r>
          </w:p>
        </w:tc>
        <w:tc>
          <w:tcPr>
            <w:tcW w:type="dxa" w:w="1958"/>
          </w:tcPr>
          <w:p>
            <w:r>
              <w:rPr>
                <w:b w:val="0"/>
                <w:sz w:val="18"/>
              </w:rPr>
              <w:t>+0.137</w:t>
            </w:r>
          </w:p>
        </w:tc>
        <w:tc>
          <w:tcPr>
            <w:tcW w:type="dxa" w:w="1958"/>
          </w:tcPr>
          <w:p>
            <w:r>
              <w:rPr>
                <w:b w:val="0"/>
                <w:sz w:val="18"/>
              </w:rPr>
              <w:t>0.509</w:t>
            </w:r>
          </w:p>
        </w:tc>
      </w:tr>
      <w:tr>
        <w:tc>
          <w:tcPr>
            <w:tcW w:type="dxa" w:w="1958"/>
          </w:tcPr>
          <w:p>
            <w:r>
              <w:rPr>
                <w:b w:val="0"/>
                <w:sz w:val="18"/>
              </w:rPr>
              <w:t>Infinite</w:t>
            </w:r>
          </w:p>
        </w:tc>
        <w:tc>
          <w:tcPr>
            <w:tcW w:type="dxa" w:w="1958"/>
          </w:tcPr>
          <w:p>
            <w:r>
              <w:rPr>
                <w:b w:val="0"/>
                <w:sz w:val="18"/>
              </w:rPr>
              <w:t>+0.229</w:t>
            </w:r>
          </w:p>
        </w:tc>
        <w:tc>
          <w:tcPr>
            <w:tcW w:type="dxa" w:w="1958"/>
          </w:tcPr>
          <w:p>
            <w:r>
              <w:rPr>
                <w:b w:val="0"/>
                <w:sz w:val="18"/>
              </w:rPr>
              <w:t>0.500</w:t>
            </w:r>
          </w:p>
        </w:tc>
        <w:tc>
          <w:tcPr>
            <w:tcW w:type="dxa" w:w="1958"/>
          </w:tcPr>
          <w:p>
            <w:r>
              <w:rPr>
                <w:b w:val="0"/>
                <w:sz w:val="18"/>
              </w:rPr>
              <w:t>+0.144</w:t>
            </w:r>
          </w:p>
        </w:tc>
        <w:tc>
          <w:tcPr>
            <w:tcW w:type="dxa" w:w="1958"/>
          </w:tcPr>
          <w:p>
            <w:r>
              <w:rPr>
                <w:b w:val="0"/>
                <w:sz w:val="18"/>
              </w:rPr>
              <w:t>0.506</w:t>
            </w:r>
          </w:p>
        </w:tc>
      </w:tr>
    </w:tbl>
    <w:p>
      <w:pPr/>
      <w:r>
        <w:t>Table R2. Memory decay. Twins from all history before the query (H-bar embargo), pooled across instruments; the 500 most similar re-weighted by recency. 'Size' is the Spearman of the twins' weighted |move| with the realised one. Second half of the test period; the infinite half-life was also the choice on the first half. Calm / volatile regimes, infinite half-life: +0.205 / +0.232 (15m), +0.105 / +0.128 (1h). Direction AUC lies in 0.499-0.516 in every cell of both halves and both regimes.</w:t>
      </w:r>
    </w:p>
    <w:p>
      <w:pPr/>
      <w:r>
        <w:rPr>
          <w:b/>
        </w:rPr>
        <w:t>15.4 Twins against state, physics and learned models</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8"/>
              </w:rPr>
              <w:t>Model</w:t>
            </w:r>
          </w:p>
        </w:tc>
        <w:tc>
          <w:tcPr>
            <w:tcW w:type="dxa" w:w="1399"/>
          </w:tcPr>
          <w:p>
            <w:r>
              <w:rPr>
                <w:b/>
                <w:sz w:val="18"/>
              </w:rPr>
              <w:t>15m log loss</w:t>
            </w:r>
          </w:p>
        </w:tc>
        <w:tc>
          <w:tcPr>
            <w:tcW w:type="dxa" w:w="1399"/>
          </w:tcPr>
          <w:p>
            <w:r>
              <w:rPr>
                <w:b/>
                <w:sz w:val="18"/>
              </w:rPr>
              <w:t>15m Brier</w:t>
            </w:r>
          </w:p>
        </w:tc>
        <w:tc>
          <w:tcPr>
            <w:tcW w:type="dxa" w:w="1399"/>
          </w:tcPr>
          <w:p>
            <w:r>
              <w:rPr>
                <w:b/>
                <w:sz w:val="18"/>
              </w:rPr>
              <w:t>15m AUC</w:t>
            </w:r>
          </w:p>
        </w:tc>
        <w:tc>
          <w:tcPr>
            <w:tcW w:type="dxa" w:w="1399"/>
          </w:tcPr>
          <w:p>
            <w:r>
              <w:rPr>
                <w:b/>
                <w:sz w:val="18"/>
              </w:rPr>
              <w:t>1h log loss</w:t>
            </w:r>
          </w:p>
        </w:tc>
        <w:tc>
          <w:tcPr>
            <w:tcW w:type="dxa" w:w="1399"/>
          </w:tcPr>
          <w:p>
            <w:r>
              <w:rPr>
                <w:b/>
                <w:sz w:val="18"/>
              </w:rPr>
              <w:t>1h Brier</w:t>
            </w:r>
          </w:p>
        </w:tc>
        <w:tc>
          <w:tcPr>
            <w:tcW w:type="dxa" w:w="1399"/>
          </w:tcPr>
          <w:p>
            <w:r>
              <w:rPr>
                <w:b/>
                <w:sz w:val="18"/>
              </w:rPr>
              <w:t>1h AUC</w:t>
            </w:r>
          </w:p>
        </w:tc>
      </w:tr>
      <w:tr>
        <w:tc>
          <w:tcPr>
            <w:tcW w:type="dxa" w:w="1399"/>
          </w:tcPr>
          <w:p>
            <w:r>
              <w:rPr>
                <w:b w:val="0"/>
                <w:sz w:val="18"/>
              </w:rPr>
              <w:t>M0 baseline: first-passage formula, no fit</w:t>
            </w:r>
          </w:p>
        </w:tc>
        <w:tc>
          <w:tcPr>
            <w:tcW w:type="dxa" w:w="1399"/>
          </w:tcPr>
          <w:p>
            <w:r>
              <w:rPr>
                <w:b w:val="0"/>
                <w:sz w:val="18"/>
              </w:rPr>
              <w:t>0.5794</w:t>
            </w:r>
          </w:p>
        </w:tc>
        <w:tc>
          <w:tcPr>
            <w:tcW w:type="dxa" w:w="1399"/>
          </w:tcPr>
          <w:p>
            <w:r>
              <w:rPr>
                <w:b w:val="0"/>
                <w:sz w:val="18"/>
              </w:rPr>
              <w:t>0.1979</w:t>
            </w:r>
          </w:p>
        </w:tc>
        <w:tc>
          <w:tcPr>
            <w:tcW w:type="dxa" w:w="1399"/>
          </w:tcPr>
          <w:p>
            <w:r>
              <w:rPr>
                <w:b w:val="0"/>
                <w:sz w:val="18"/>
              </w:rPr>
              <w:t>0.790</w:t>
            </w:r>
          </w:p>
        </w:tc>
        <w:tc>
          <w:tcPr>
            <w:tcW w:type="dxa" w:w="1399"/>
          </w:tcPr>
          <w:p>
            <w:r>
              <w:rPr>
                <w:b w:val="0"/>
                <w:sz w:val="18"/>
              </w:rPr>
              <w:t>0.5634</w:t>
            </w:r>
          </w:p>
        </w:tc>
        <w:tc>
          <w:tcPr>
            <w:tcW w:type="dxa" w:w="1399"/>
          </w:tcPr>
          <w:p>
            <w:r>
              <w:rPr>
                <w:b w:val="0"/>
                <w:sz w:val="18"/>
              </w:rPr>
              <w:t>0.1913</w:t>
            </w:r>
          </w:p>
        </w:tc>
        <w:tc>
          <w:tcPr>
            <w:tcW w:type="dxa" w:w="1399"/>
          </w:tcPr>
          <w:p>
            <w:r>
              <w:rPr>
                <w:b w:val="0"/>
                <w:sz w:val="18"/>
              </w:rPr>
              <w:t>0.798</w:t>
            </w:r>
          </w:p>
        </w:tc>
      </w:tr>
      <w:tr>
        <w:tc>
          <w:tcPr>
            <w:tcW w:type="dxa" w:w="1399"/>
          </w:tcPr>
          <w:p>
            <w:r>
              <w:rPr>
                <w:b w:val="0"/>
                <w:sz w:val="18"/>
              </w:rPr>
              <w:t>M1 state only (gradient boosting)</w:t>
            </w:r>
          </w:p>
        </w:tc>
        <w:tc>
          <w:tcPr>
            <w:tcW w:type="dxa" w:w="1399"/>
          </w:tcPr>
          <w:p>
            <w:r>
              <w:rPr>
                <w:b w:val="0"/>
                <w:sz w:val="18"/>
              </w:rPr>
              <w:t>0.5301</w:t>
            </w:r>
          </w:p>
        </w:tc>
        <w:tc>
          <w:tcPr>
            <w:tcW w:type="dxa" w:w="1399"/>
          </w:tcPr>
          <w:p>
            <w:r>
              <w:rPr>
                <w:b w:val="0"/>
                <w:sz w:val="18"/>
              </w:rPr>
              <w:t>0.1777</w:t>
            </w:r>
          </w:p>
        </w:tc>
        <w:tc>
          <w:tcPr>
            <w:tcW w:type="dxa" w:w="1399"/>
          </w:tcPr>
          <w:p>
            <w:r>
              <w:rPr>
                <w:b w:val="0"/>
                <w:sz w:val="18"/>
              </w:rPr>
              <w:t>0.807</w:t>
            </w:r>
          </w:p>
        </w:tc>
        <w:tc>
          <w:tcPr>
            <w:tcW w:type="dxa" w:w="1399"/>
          </w:tcPr>
          <w:p>
            <w:r>
              <w:rPr>
                <w:b w:val="0"/>
                <w:sz w:val="18"/>
              </w:rPr>
              <w:t>0.5351</w:t>
            </w:r>
          </w:p>
        </w:tc>
        <w:tc>
          <w:tcPr>
            <w:tcW w:type="dxa" w:w="1399"/>
          </w:tcPr>
          <w:p>
            <w:r>
              <w:rPr>
                <w:b w:val="0"/>
                <w:sz w:val="18"/>
              </w:rPr>
              <w:t>0.1796</w:t>
            </w:r>
          </w:p>
        </w:tc>
        <w:tc>
          <w:tcPr>
            <w:tcW w:type="dxa" w:w="1399"/>
          </w:tcPr>
          <w:p>
            <w:r>
              <w:rPr>
                <w:b w:val="0"/>
                <w:sz w:val="18"/>
              </w:rPr>
              <w:t>0.805</w:t>
            </w:r>
          </w:p>
        </w:tc>
      </w:tr>
      <w:tr>
        <w:tc>
          <w:tcPr>
            <w:tcW w:type="dxa" w:w="1399"/>
          </w:tcPr>
          <w:p>
            <w:r>
              <w:rPr>
                <w:b w:val="0"/>
                <w:sz w:val="18"/>
              </w:rPr>
              <w:t>M2 memory only (50 fractal twins)</w:t>
            </w:r>
          </w:p>
        </w:tc>
        <w:tc>
          <w:tcPr>
            <w:tcW w:type="dxa" w:w="1399"/>
          </w:tcPr>
          <w:p>
            <w:r>
              <w:rPr>
                <w:b w:val="0"/>
                <w:sz w:val="18"/>
              </w:rPr>
              <w:t>0.5479</w:t>
            </w:r>
          </w:p>
        </w:tc>
        <w:tc>
          <w:tcPr>
            <w:tcW w:type="dxa" w:w="1399"/>
          </w:tcPr>
          <w:p>
            <w:r>
              <w:rPr>
                <w:b w:val="0"/>
                <w:sz w:val="18"/>
              </w:rPr>
              <w:t>0.1840</w:t>
            </w:r>
          </w:p>
        </w:tc>
        <w:tc>
          <w:tcPr>
            <w:tcW w:type="dxa" w:w="1399"/>
          </w:tcPr>
          <w:p>
            <w:r>
              <w:rPr>
                <w:b w:val="0"/>
                <w:sz w:val="18"/>
              </w:rPr>
              <w:t>0.794</w:t>
            </w:r>
          </w:p>
        </w:tc>
        <w:tc>
          <w:tcPr>
            <w:tcW w:type="dxa" w:w="1399"/>
          </w:tcPr>
          <w:p>
            <w:r>
              <w:rPr>
                <w:b w:val="0"/>
                <w:sz w:val="18"/>
              </w:rPr>
              <w:t>0.5469</w:t>
            </w:r>
          </w:p>
        </w:tc>
        <w:tc>
          <w:tcPr>
            <w:tcW w:type="dxa" w:w="1399"/>
          </w:tcPr>
          <w:p>
            <w:r>
              <w:rPr>
                <w:b w:val="0"/>
                <w:sz w:val="18"/>
              </w:rPr>
              <w:t>0.1839</w:t>
            </w:r>
          </w:p>
        </w:tc>
        <w:tc>
          <w:tcPr>
            <w:tcW w:type="dxa" w:w="1399"/>
          </w:tcPr>
          <w:p>
            <w:r>
              <w:rPr>
                <w:b w:val="0"/>
                <w:sz w:val="18"/>
              </w:rPr>
              <w:t>0.796</w:t>
            </w:r>
          </w:p>
        </w:tc>
      </w:tr>
      <w:tr>
        <w:tc>
          <w:tcPr>
            <w:tcW w:type="dxa" w:w="1399"/>
          </w:tcPr>
          <w:p>
            <w:r>
              <w:rPr>
                <w:b w:val="0"/>
                <w:sz w:val="18"/>
              </w:rPr>
              <w:t>M3 combined</w:t>
            </w:r>
          </w:p>
        </w:tc>
        <w:tc>
          <w:tcPr>
            <w:tcW w:type="dxa" w:w="1399"/>
          </w:tcPr>
          <w:p>
            <w:r>
              <w:rPr>
                <w:b w:val="0"/>
                <w:sz w:val="18"/>
              </w:rPr>
              <w:t>0.5436</w:t>
            </w:r>
          </w:p>
        </w:tc>
        <w:tc>
          <w:tcPr>
            <w:tcW w:type="dxa" w:w="1399"/>
          </w:tcPr>
          <w:p>
            <w:r>
              <w:rPr>
                <w:b w:val="0"/>
                <w:sz w:val="18"/>
              </w:rPr>
              <w:t>0.1827</w:t>
            </w:r>
          </w:p>
        </w:tc>
        <w:tc>
          <w:tcPr>
            <w:tcW w:type="dxa" w:w="1399"/>
          </w:tcPr>
          <w:p>
            <w:r>
              <w:rPr>
                <w:b w:val="0"/>
                <w:sz w:val="18"/>
              </w:rPr>
              <w:t>0.797</w:t>
            </w:r>
          </w:p>
        </w:tc>
        <w:tc>
          <w:tcPr>
            <w:tcW w:type="dxa" w:w="1399"/>
          </w:tcPr>
          <w:p>
            <w:r>
              <w:rPr>
                <w:b w:val="0"/>
                <w:sz w:val="18"/>
              </w:rPr>
              <w:t>0.5466</w:t>
            </w:r>
          </w:p>
        </w:tc>
        <w:tc>
          <w:tcPr>
            <w:tcW w:type="dxa" w:w="1399"/>
          </w:tcPr>
          <w:p>
            <w:r>
              <w:rPr>
                <w:b w:val="0"/>
                <w:sz w:val="18"/>
              </w:rPr>
              <w:t>0.1840</w:t>
            </w:r>
          </w:p>
        </w:tc>
        <w:tc>
          <w:tcPr>
            <w:tcW w:type="dxa" w:w="1399"/>
          </w:tcPr>
          <w:p>
            <w:r>
              <w:rPr>
                <w:b w:val="0"/>
                <w:sz w:val="18"/>
              </w:rPr>
              <w:t>0.796</w:t>
            </w:r>
          </w:p>
        </w:tc>
      </w:tr>
      <w:tr>
        <w:tc>
          <w:tcPr>
            <w:tcW w:type="dxa" w:w="1399"/>
          </w:tcPr>
          <w:p>
            <w:r>
              <w:rPr>
                <w:b w:val="0"/>
                <w:sz w:val="18"/>
              </w:rPr>
              <w:t>Random-walk control: M0 / M1 / M2 / M3 log loss</w:t>
            </w:r>
          </w:p>
        </w:tc>
        <w:tc>
          <w:tcPr>
            <w:tcW w:type="dxa" w:w="1399"/>
          </w:tcPr>
          <w:p>
            <w:r>
              <w:rPr>
                <w:b w:val="0"/>
                <w:sz w:val="18"/>
              </w:rPr>
              <w:t>0.5462 / 0.5328 / 0.5374 / 0.5400</w:t>
            </w:r>
          </w:p>
        </w:tc>
        <w:tc>
          <w:tcPr>
            <w:tcW w:type="dxa" w:w="1399"/>
          </w:tcPr>
          <w:p>
            <w:r>
              <w:rPr>
                <w:b w:val="0"/>
                <w:sz w:val="18"/>
              </w:rPr>
            </w:r>
          </w:p>
        </w:tc>
        <w:tc>
          <w:tcPr>
            <w:tcW w:type="dxa" w:w="1399"/>
          </w:tcPr>
          <w:p>
            <w:r>
              <w:rPr>
                <w:b w:val="0"/>
                <w:sz w:val="18"/>
              </w:rPr>
            </w:r>
          </w:p>
        </w:tc>
        <w:tc>
          <w:tcPr>
            <w:tcW w:type="dxa" w:w="1399"/>
          </w:tcPr>
          <w:p>
            <w:r>
              <w:rPr>
                <w:b w:val="0"/>
                <w:sz w:val="18"/>
              </w:rPr>
              <w:t>0.5457 / 0.5292 / 0.5373 / 0.5375</w:t>
            </w:r>
          </w:p>
        </w:tc>
        <w:tc>
          <w:tcPr>
            <w:tcW w:type="dxa" w:w="1399"/>
          </w:tcPr>
          <w:p>
            <w:r>
              <w:rPr>
                <w:b w:val="0"/>
                <w:sz w:val="18"/>
              </w:rPr>
            </w:r>
          </w:p>
        </w:tc>
        <w:tc>
          <w:tcPr>
            <w:tcW w:type="dxa" w:w="1399"/>
          </w:tcPr>
          <w:p>
            <w:r>
              <w:rPr>
                <w:b w:val="0"/>
                <w:sz w:val="18"/>
              </w:rPr>
            </w:r>
          </w:p>
        </w:tc>
      </w:tr>
    </w:tbl>
    <w:p>
      <w:pPr/>
      <w:r>
        <w:t>Table R3. P(zone reached within 16 bars), test block, real markets. Zones are a grid at ±1, 2, 3, 4, 6 and 8 baseline moves plus the nearest untaken 50-bar swing high and low.</w:t>
      </w:r>
    </w:p>
    <w:p>
      <w:pPr/>
      <w:r>
        <w:t>Volatility bands: a trailing EWMA σ√H ranks the future |move| at +0.098 / +0.125 (15m / 1h) with QLIKE 2.16 / 1.90; fractal twins rank it better at 15m (+0.140) but have QLIKE 3.46 / 2.78, because 50 neighbours' median move is a noisy estimate of a scale the EWMA already tracks.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Fan (10-90%)</w:t>
            </w:r>
          </w:p>
        </w:tc>
        <w:tc>
          <w:tcPr>
            <w:tcW w:type="dxa" w:w="3264"/>
          </w:tcPr>
          <w:p>
            <w:r>
              <w:rPr>
                <w:b/>
                <w:sz w:val="18"/>
              </w:rPr>
              <w:t>15m coverage, pinball</w:t>
            </w:r>
          </w:p>
        </w:tc>
        <w:tc>
          <w:tcPr>
            <w:tcW w:type="dxa" w:w="3264"/>
          </w:tcPr>
          <w:p>
            <w:r>
              <w:rPr>
                <w:b/>
                <w:sz w:val="18"/>
              </w:rPr>
              <w:t>1h coverage, pinball</w:t>
            </w:r>
          </w:p>
        </w:tc>
      </w:tr>
      <w:tr>
        <w:tc>
          <w:tcPr>
            <w:tcW w:type="dxa" w:w="3264"/>
          </w:tcPr>
          <w:p>
            <w:r>
              <w:rPr>
                <w:b w:val="0"/>
                <w:sz w:val="18"/>
              </w:rPr>
              <w:t>Gaussian from EWMA σ</w:t>
            </w:r>
          </w:p>
        </w:tc>
        <w:tc>
          <w:tcPr>
            <w:tcW w:type="dxa" w:w="3264"/>
          </w:tcPr>
          <w:p>
            <w:r>
              <w:rPr>
                <w:b w:val="0"/>
                <w:sz w:val="18"/>
              </w:rPr>
              <w:t>89.1%, 1.452</w:t>
            </w:r>
          </w:p>
        </w:tc>
        <w:tc>
          <w:tcPr>
            <w:tcW w:type="dxa" w:w="3264"/>
          </w:tcPr>
          <w:p>
            <w:r>
              <w:rPr>
                <w:b w:val="0"/>
                <w:sz w:val="18"/>
              </w:rPr>
              <w:t>88.5%, 1.486</w:t>
            </w:r>
          </w:p>
        </w:tc>
      </w:tr>
      <w:tr>
        <w:tc>
          <w:tcPr>
            <w:tcW w:type="dxa" w:w="3264"/>
          </w:tcPr>
          <w:p>
            <w:r>
              <w:rPr>
                <w:b w:val="0"/>
                <w:sz w:val="18"/>
              </w:rPr>
              <w:t>Twins, shape</w:t>
            </w:r>
          </w:p>
        </w:tc>
        <w:tc>
          <w:tcPr>
            <w:tcW w:type="dxa" w:w="3264"/>
          </w:tcPr>
          <w:p>
            <w:r>
              <w:rPr>
                <w:b w:val="0"/>
                <w:sz w:val="18"/>
              </w:rPr>
              <w:t>77.2%, 1.415</w:t>
            </w:r>
          </w:p>
        </w:tc>
        <w:tc>
          <w:tcPr>
            <w:tcW w:type="dxa" w:w="3264"/>
          </w:tcPr>
          <w:p>
            <w:r>
              <w:rPr>
                <w:b w:val="0"/>
                <w:sz w:val="18"/>
              </w:rPr>
              <w:t>77.7%, 1.471</w:t>
            </w:r>
          </w:p>
        </w:tc>
      </w:tr>
      <w:tr>
        <w:tc>
          <w:tcPr>
            <w:tcW w:type="dxa" w:w="3264"/>
          </w:tcPr>
          <w:p>
            <w:r>
              <w:rPr>
                <w:b w:val="0"/>
                <w:sz w:val="18"/>
              </w:rPr>
              <w:t>Twins, fractal</w:t>
            </w:r>
          </w:p>
        </w:tc>
        <w:tc>
          <w:tcPr>
            <w:tcW w:type="dxa" w:w="3264"/>
          </w:tcPr>
          <w:p>
            <w:r>
              <w:rPr>
                <w:b w:val="0"/>
                <w:sz w:val="18"/>
              </w:rPr>
              <w:t>76.6%, 1.417</w:t>
            </w:r>
          </w:p>
        </w:tc>
        <w:tc>
          <w:tcPr>
            <w:tcW w:type="dxa" w:w="3264"/>
          </w:tcPr>
          <w:p>
            <w:r>
              <w:rPr>
                <w:b w:val="0"/>
                <w:sz w:val="18"/>
              </w:rPr>
              <w:t>76.6%, 1.476</w:t>
            </w:r>
          </w:p>
        </w:tc>
      </w:tr>
      <w:tr>
        <w:tc>
          <w:tcPr>
            <w:tcW w:type="dxa" w:w="3264"/>
          </w:tcPr>
          <w:p>
            <w:r>
              <w:rPr>
                <w:b w:val="0"/>
                <w:sz w:val="18"/>
              </w:rPr>
              <w:t>Twins, learned (CNN) embedding</w:t>
            </w:r>
          </w:p>
        </w:tc>
        <w:tc>
          <w:tcPr>
            <w:tcW w:type="dxa" w:w="3264"/>
          </w:tcPr>
          <w:p>
            <w:r>
              <w:rPr>
                <w:b w:val="0"/>
                <w:sz w:val="18"/>
              </w:rPr>
              <w:t>76.1%, 1.441</w:t>
            </w:r>
          </w:p>
        </w:tc>
        <w:tc>
          <w:tcPr>
            <w:tcW w:type="dxa" w:w="3264"/>
          </w:tcPr>
          <w:p>
            <w:r>
              <w:rPr>
                <w:b w:val="0"/>
                <w:sz w:val="18"/>
              </w:rPr>
              <w:t>75.6%, 1.494</w:t>
            </w:r>
          </w:p>
        </w:tc>
      </w:tr>
      <w:tr>
        <w:tc>
          <w:tcPr>
            <w:tcW w:type="dxa" w:w="3264"/>
          </w:tcPr>
          <w:p>
            <w:r>
              <w:rPr>
                <w:b w:val="0"/>
                <w:sz w:val="18"/>
              </w:rPr>
              <w:t>Gradient boosting (quantile)</w:t>
            </w:r>
          </w:p>
        </w:tc>
        <w:tc>
          <w:tcPr>
            <w:tcW w:type="dxa" w:w="3264"/>
          </w:tcPr>
          <w:p>
            <w:r>
              <w:rPr>
                <w:b w:val="0"/>
                <w:sz w:val="18"/>
              </w:rPr>
              <w:t>78.1%, 1.376</w:t>
            </w:r>
          </w:p>
        </w:tc>
        <w:tc>
          <w:tcPr>
            <w:tcW w:type="dxa" w:w="3264"/>
          </w:tcPr>
          <w:p>
            <w:r>
              <w:rPr>
                <w:b w:val="0"/>
                <w:sz w:val="18"/>
              </w:rPr>
              <w:t>78.3%, 1.438</w:t>
            </w:r>
          </w:p>
        </w:tc>
      </w:tr>
    </w:tbl>
    <w:p>
      <w:pPr/>
      <w:r>
        <w:t>Table R4. Quantile trajectories: coverage of the 10-90% band (target 80%) and pinball loss, real markets.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Expansion from compression</w:t>
            </w:r>
          </w:p>
        </w:tc>
        <w:tc>
          <w:tcPr>
            <w:tcW w:type="dxa" w:w="3264"/>
          </w:tcPr>
          <w:p>
            <w:r>
              <w:rPr>
                <w:b/>
                <w:sz w:val="18"/>
              </w:rPr>
              <w:t>15m AUC, top-10% lift</w:t>
            </w:r>
          </w:p>
        </w:tc>
        <w:tc>
          <w:tcPr>
            <w:tcW w:type="dxa" w:w="3264"/>
          </w:tcPr>
          <w:p>
            <w:r>
              <w:rPr>
                <w:b/>
                <w:sz w:val="18"/>
              </w:rPr>
              <w:t>1h AUC, top-10% lift</w:t>
            </w:r>
          </w:p>
        </w:tc>
      </w:tr>
      <w:tr>
        <w:tc>
          <w:tcPr>
            <w:tcW w:type="dxa" w:w="3264"/>
          </w:tcPr>
          <w:p>
            <w:r>
              <w:rPr>
                <w:b w:val="0"/>
                <w:sz w:val="18"/>
              </w:rPr>
              <w:t>Base rate</w:t>
            </w:r>
          </w:p>
        </w:tc>
        <w:tc>
          <w:tcPr>
            <w:tcW w:type="dxa" w:w="3264"/>
          </w:tcPr>
          <w:p>
            <w:r>
              <w:rPr>
                <w:b w:val="0"/>
                <w:sz w:val="18"/>
              </w:rPr>
              <w:t>4.9%</w:t>
            </w:r>
          </w:p>
        </w:tc>
        <w:tc>
          <w:tcPr>
            <w:tcW w:type="dxa" w:w="3264"/>
          </w:tcPr>
          <w:p>
            <w:r>
              <w:rPr>
                <w:b w:val="0"/>
                <w:sz w:val="18"/>
              </w:rPr>
              <w:t>7.4%</w:t>
            </w:r>
          </w:p>
        </w:tc>
      </w:tr>
      <w:tr>
        <w:tc>
          <w:tcPr>
            <w:tcW w:type="dxa" w:w="3264"/>
          </w:tcPr>
          <w:p>
            <w:r>
              <w:rPr>
                <w:b w:val="0"/>
                <w:sz w:val="18"/>
              </w:rPr>
              <w:t>Twins, fractal</w:t>
            </w:r>
          </w:p>
        </w:tc>
        <w:tc>
          <w:tcPr>
            <w:tcW w:type="dxa" w:w="3264"/>
          </w:tcPr>
          <w:p>
            <w:r>
              <w:rPr>
                <w:b w:val="0"/>
                <w:sz w:val="18"/>
              </w:rPr>
              <w:t>0.639, 1.79x</w:t>
            </w:r>
          </w:p>
        </w:tc>
        <w:tc>
          <w:tcPr>
            <w:tcW w:type="dxa" w:w="3264"/>
          </w:tcPr>
          <w:p>
            <w:r>
              <w:rPr>
                <w:b w:val="0"/>
                <w:sz w:val="18"/>
              </w:rPr>
              <w:t>0.591, 1.39x</w:t>
            </w:r>
          </w:p>
        </w:tc>
      </w:tr>
      <w:tr>
        <w:tc>
          <w:tcPr>
            <w:tcW w:type="dxa" w:w="3264"/>
          </w:tcPr>
          <w:p>
            <w:r>
              <w:rPr>
                <w:b w:val="0"/>
                <w:sz w:val="18"/>
              </w:rPr>
              <w:t>Twins, learned</w:t>
            </w:r>
          </w:p>
        </w:tc>
        <w:tc>
          <w:tcPr>
            <w:tcW w:type="dxa" w:w="3264"/>
          </w:tcPr>
          <w:p>
            <w:r>
              <w:rPr>
                <w:b w:val="0"/>
                <w:sz w:val="18"/>
              </w:rPr>
              <w:t>0.627, 1.75x</w:t>
            </w:r>
          </w:p>
        </w:tc>
        <w:tc>
          <w:tcPr>
            <w:tcW w:type="dxa" w:w="3264"/>
          </w:tcPr>
          <w:p>
            <w:r>
              <w:rPr>
                <w:b w:val="0"/>
                <w:sz w:val="18"/>
              </w:rPr>
              <w:t>0.610, 1.68x</w:t>
            </w:r>
          </w:p>
        </w:tc>
      </w:tr>
      <w:tr>
        <w:tc>
          <w:tcPr>
            <w:tcW w:type="dxa" w:w="3264"/>
          </w:tcPr>
          <w:p>
            <w:r>
              <w:rPr>
                <w:b w:val="0"/>
                <w:sz w:val="18"/>
              </w:rPr>
              <w:t>Gradient boosting</w:t>
            </w:r>
          </w:p>
        </w:tc>
        <w:tc>
          <w:tcPr>
            <w:tcW w:type="dxa" w:w="3264"/>
          </w:tcPr>
          <w:p>
            <w:r>
              <w:rPr>
                <w:b w:val="0"/>
                <w:sz w:val="18"/>
              </w:rPr>
              <w:t>0.728, 2.91x</w:t>
            </w:r>
          </w:p>
        </w:tc>
        <w:tc>
          <w:tcPr>
            <w:tcW w:type="dxa" w:w="3264"/>
          </w:tcPr>
          <w:p>
            <w:r>
              <w:rPr>
                <w:b w:val="0"/>
                <w:sz w:val="18"/>
              </w:rPr>
              <w:t>0.738, 2.98x</w:t>
            </w:r>
          </w:p>
        </w:tc>
      </w:tr>
    </w:tbl>
    <w:p>
      <w:pPr/>
      <w:r>
        <w:t>Table R5. Regime shift: from a compressed state (14-bar true-range percentile ≤ 0.2), does an expansion (≥ 0.8) follow within 16 bars? Random walks: AUC 0.50-0.56 for every model. The side of the expansion is a coin (fractal twins 0.531 / 0.505).</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sz w:val="18"/>
              </w:rPr>
              <w:t>Horizon</w:t>
            </w:r>
          </w:p>
        </w:tc>
        <w:tc>
          <w:tcPr>
            <w:tcW w:type="dxa" w:w="1632"/>
          </w:tcPr>
          <w:p>
            <w:r>
              <w:rPr>
                <w:b/>
                <w:sz w:val="18"/>
              </w:rPr>
              <w:t>Base rate</w:t>
            </w:r>
          </w:p>
        </w:tc>
        <w:tc>
          <w:tcPr>
            <w:tcW w:type="dxa" w:w="1632"/>
          </w:tcPr>
          <w:p>
            <w:r>
              <w:rPr>
                <w:b/>
                <w:sz w:val="18"/>
              </w:rPr>
              <w:t>Physics</w:t>
            </w:r>
          </w:p>
        </w:tc>
        <w:tc>
          <w:tcPr>
            <w:tcW w:type="dxa" w:w="1632"/>
          </w:tcPr>
          <w:p>
            <w:r>
              <w:rPr>
                <w:b/>
                <w:sz w:val="18"/>
              </w:rPr>
              <w:t>Twins' curve</w:t>
            </w:r>
          </w:p>
        </w:tc>
        <w:tc>
          <w:tcPr>
            <w:tcW w:type="dxa" w:w="1632"/>
          </w:tcPr>
          <w:p>
            <w:r>
              <w:rPr>
                <w:b/>
                <w:sz w:val="18"/>
              </w:rPr>
              <w:t>Direct model at t</w:t>
            </w:r>
          </w:p>
        </w:tc>
        <w:tc>
          <w:tcPr>
            <w:tcW w:type="dxa" w:w="1632"/>
          </w:tcPr>
          <w:p>
            <w:r>
              <w:rPr>
                <w:b/>
                <w:sz w:val="18"/>
              </w:rPr>
              <w:t>Hazard model</w:t>
            </w:r>
          </w:p>
        </w:tc>
      </w:tr>
      <w:tr>
        <w:tc>
          <w:tcPr>
            <w:tcW w:type="dxa" w:w="1632"/>
          </w:tcPr>
          <w:p>
            <w:r>
              <w:rPr>
                <w:b w:val="0"/>
                <w:sz w:val="18"/>
              </w:rPr>
              <w:t>4 bars, 15m</w:t>
            </w:r>
          </w:p>
        </w:tc>
        <w:tc>
          <w:tcPr>
            <w:tcW w:type="dxa" w:w="1632"/>
          </w:tcPr>
          <w:p>
            <w:r>
              <w:rPr>
                <w:b w:val="0"/>
                <w:sz w:val="18"/>
              </w:rPr>
              <w:t>22.8%</w:t>
            </w:r>
          </w:p>
        </w:tc>
        <w:tc>
          <w:tcPr>
            <w:tcW w:type="dxa" w:w="1632"/>
          </w:tcPr>
          <w:p>
            <w:r>
              <w:rPr>
                <w:b w:val="0"/>
                <w:sz w:val="18"/>
              </w:rPr>
              <w:t>0.4271</w:t>
            </w:r>
          </w:p>
        </w:tc>
        <w:tc>
          <w:tcPr>
            <w:tcW w:type="dxa" w:w="1632"/>
          </w:tcPr>
          <w:p>
            <w:r>
              <w:rPr>
                <w:b w:val="0"/>
                <w:sz w:val="18"/>
              </w:rPr>
              <w:t>0.3992</w:t>
            </w:r>
          </w:p>
        </w:tc>
        <w:tc>
          <w:tcPr>
            <w:tcW w:type="dxa" w:w="1632"/>
          </w:tcPr>
          <w:p>
            <w:r>
              <w:rPr>
                <w:b w:val="0"/>
                <w:sz w:val="18"/>
              </w:rPr>
              <w:t>0.3789</w:t>
            </w:r>
          </w:p>
        </w:tc>
        <w:tc>
          <w:tcPr>
            <w:tcW w:type="dxa" w:w="1632"/>
          </w:tcPr>
          <w:p>
            <w:r>
              <w:rPr>
                <w:b w:val="0"/>
                <w:sz w:val="18"/>
              </w:rPr>
              <w:t>0.3841</w:t>
            </w:r>
          </w:p>
        </w:tc>
      </w:tr>
      <w:tr>
        <w:tc>
          <w:tcPr>
            <w:tcW w:type="dxa" w:w="1632"/>
          </w:tcPr>
          <w:p>
            <w:r>
              <w:rPr>
                <w:b w:val="0"/>
                <w:sz w:val="18"/>
              </w:rPr>
              <w:t>8 bars, 15m</w:t>
            </w:r>
          </w:p>
        </w:tc>
        <w:tc>
          <w:tcPr>
            <w:tcW w:type="dxa" w:w="1632"/>
          </w:tcPr>
          <w:p>
            <w:r>
              <w:rPr>
                <w:b w:val="0"/>
                <w:sz w:val="18"/>
              </w:rPr>
              <w:t>32.6%</w:t>
            </w:r>
          </w:p>
        </w:tc>
        <w:tc>
          <w:tcPr>
            <w:tcW w:type="dxa" w:w="1632"/>
          </w:tcPr>
          <w:p>
            <w:r>
              <w:rPr>
                <w:b w:val="0"/>
                <w:sz w:val="18"/>
              </w:rPr>
              <w:t>0.5175</w:t>
            </w:r>
          </w:p>
        </w:tc>
        <w:tc>
          <w:tcPr>
            <w:tcW w:type="dxa" w:w="1632"/>
          </w:tcPr>
          <w:p>
            <w:r>
              <w:rPr>
                <w:b w:val="0"/>
                <w:sz w:val="18"/>
              </w:rPr>
              <w:t>0.4860</w:t>
            </w:r>
          </w:p>
        </w:tc>
        <w:tc>
          <w:tcPr>
            <w:tcW w:type="dxa" w:w="1632"/>
          </w:tcPr>
          <w:p>
            <w:r>
              <w:rPr>
                <w:b w:val="0"/>
                <w:sz w:val="18"/>
              </w:rPr>
              <w:t>0.4705</w:t>
            </w:r>
          </w:p>
        </w:tc>
        <w:tc>
          <w:tcPr>
            <w:tcW w:type="dxa" w:w="1632"/>
          </w:tcPr>
          <w:p>
            <w:r>
              <w:rPr>
                <w:b w:val="0"/>
                <w:sz w:val="18"/>
              </w:rPr>
              <w:t>0.4729</w:t>
            </w:r>
          </w:p>
        </w:tc>
      </w:tr>
      <w:tr>
        <w:tc>
          <w:tcPr>
            <w:tcW w:type="dxa" w:w="1632"/>
          </w:tcPr>
          <w:p>
            <w:r>
              <w:rPr>
                <w:b w:val="0"/>
                <w:sz w:val="18"/>
              </w:rPr>
              <w:t>16 bars, 15m</w:t>
            </w:r>
          </w:p>
        </w:tc>
        <w:tc>
          <w:tcPr>
            <w:tcW w:type="dxa" w:w="1632"/>
          </w:tcPr>
          <w:p>
            <w:r>
              <w:rPr>
                <w:b w:val="0"/>
                <w:sz w:val="18"/>
              </w:rPr>
              <w:t>44.2%</w:t>
            </w:r>
          </w:p>
        </w:tc>
        <w:tc>
          <w:tcPr>
            <w:tcW w:type="dxa" w:w="1632"/>
          </w:tcPr>
          <w:p>
            <w:r>
              <w:rPr>
                <w:b w:val="0"/>
                <w:sz w:val="18"/>
              </w:rPr>
              <w:t>0.5781</w:t>
            </w:r>
          </w:p>
        </w:tc>
        <w:tc>
          <w:tcPr>
            <w:tcW w:type="dxa" w:w="1632"/>
          </w:tcPr>
          <w:p>
            <w:r>
              <w:rPr>
                <w:b w:val="0"/>
                <w:sz w:val="18"/>
              </w:rPr>
              <w:t>0.5490</w:t>
            </w:r>
          </w:p>
        </w:tc>
        <w:tc>
          <w:tcPr>
            <w:tcW w:type="dxa" w:w="1632"/>
          </w:tcPr>
          <w:p>
            <w:r>
              <w:rPr>
                <w:b w:val="0"/>
                <w:sz w:val="18"/>
              </w:rPr>
              <w:t>0.5423</w:t>
            </w:r>
          </w:p>
        </w:tc>
        <w:tc>
          <w:tcPr>
            <w:tcW w:type="dxa" w:w="1632"/>
          </w:tcPr>
          <w:p>
            <w:r>
              <w:rPr>
                <w:b w:val="0"/>
                <w:sz w:val="18"/>
              </w:rPr>
              <w:t>0.5411</w:t>
            </w:r>
          </w:p>
        </w:tc>
      </w:tr>
      <w:tr>
        <w:tc>
          <w:tcPr>
            <w:tcW w:type="dxa" w:w="1632"/>
          </w:tcPr>
          <w:p>
            <w:r>
              <w:rPr>
                <w:b w:val="0"/>
                <w:sz w:val="18"/>
              </w:rPr>
              <w:t>4 bars, 1h</w:t>
            </w:r>
          </w:p>
        </w:tc>
        <w:tc>
          <w:tcPr>
            <w:tcW w:type="dxa" w:w="1632"/>
          </w:tcPr>
          <w:p>
            <w:r>
              <w:rPr>
                <w:b w:val="0"/>
                <w:sz w:val="18"/>
              </w:rPr>
              <w:t>23.8%</w:t>
            </w:r>
          </w:p>
        </w:tc>
        <w:tc>
          <w:tcPr>
            <w:tcW w:type="dxa" w:w="1632"/>
          </w:tcPr>
          <w:p>
            <w:r>
              <w:rPr>
                <w:b w:val="0"/>
                <w:sz w:val="18"/>
              </w:rPr>
              <w:t>0.4277</w:t>
            </w:r>
          </w:p>
        </w:tc>
        <w:tc>
          <w:tcPr>
            <w:tcW w:type="dxa" w:w="1632"/>
          </w:tcPr>
          <w:p>
            <w:r>
              <w:rPr>
                <w:b w:val="0"/>
                <w:sz w:val="18"/>
              </w:rPr>
              <w:t>0.4010</w:t>
            </w:r>
          </w:p>
        </w:tc>
        <w:tc>
          <w:tcPr>
            <w:tcW w:type="dxa" w:w="1632"/>
          </w:tcPr>
          <w:p>
            <w:r>
              <w:rPr>
                <w:b w:val="0"/>
                <w:sz w:val="18"/>
              </w:rPr>
              <w:t>0.3876</w:t>
            </w:r>
          </w:p>
        </w:tc>
        <w:tc>
          <w:tcPr>
            <w:tcW w:type="dxa" w:w="1632"/>
          </w:tcPr>
          <w:p>
            <w:r>
              <w:rPr>
                <w:b w:val="0"/>
                <w:sz w:val="18"/>
              </w:rPr>
              <w:t>0.3923</w:t>
            </w:r>
          </w:p>
        </w:tc>
      </w:tr>
      <w:tr>
        <w:tc>
          <w:tcPr>
            <w:tcW w:type="dxa" w:w="1632"/>
          </w:tcPr>
          <w:p>
            <w:r>
              <w:rPr>
                <w:b w:val="0"/>
                <w:sz w:val="18"/>
              </w:rPr>
              <w:t>8 bars, 1h</w:t>
            </w:r>
          </w:p>
        </w:tc>
        <w:tc>
          <w:tcPr>
            <w:tcW w:type="dxa" w:w="1632"/>
          </w:tcPr>
          <w:p>
            <w:r>
              <w:rPr>
                <w:b w:val="0"/>
                <w:sz w:val="18"/>
              </w:rPr>
              <w:t>34.2%</w:t>
            </w:r>
          </w:p>
        </w:tc>
        <w:tc>
          <w:tcPr>
            <w:tcW w:type="dxa" w:w="1632"/>
          </w:tcPr>
          <w:p>
            <w:r>
              <w:rPr>
                <w:b w:val="0"/>
                <w:sz w:val="18"/>
              </w:rPr>
              <w:t>0.5106</w:t>
            </w:r>
          </w:p>
        </w:tc>
        <w:tc>
          <w:tcPr>
            <w:tcW w:type="dxa" w:w="1632"/>
          </w:tcPr>
          <w:p>
            <w:r>
              <w:rPr>
                <w:b w:val="0"/>
                <w:sz w:val="18"/>
              </w:rPr>
              <w:t>0.4867</w:t>
            </w:r>
          </w:p>
        </w:tc>
        <w:tc>
          <w:tcPr>
            <w:tcW w:type="dxa" w:w="1632"/>
          </w:tcPr>
          <w:p>
            <w:r>
              <w:rPr>
                <w:b w:val="0"/>
                <w:sz w:val="18"/>
              </w:rPr>
              <w:t>0.4790</w:t>
            </w:r>
          </w:p>
        </w:tc>
        <w:tc>
          <w:tcPr>
            <w:tcW w:type="dxa" w:w="1632"/>
          </w:tcPr>
          <w:p>
            <w:r>
              <w:rPr>
                <w:b w:val="0"/>
                <w:sz w:val="18"/>
              </w:rPr>
              <w:t>0.4801</w:t>
            </w:r>
          </w:p>
        </w:tc>
      </w:tr>
      <w:tr>
        <w:tc>
          <w:tcPr>
            <w:tcW w:type="dxa" w:w="1632"/>
          </w:tcPr>
          <w:p>
            <w:r>
              <w:rPr>
                <w:b w:val="0"/>
                <w:sz w:val="18"/>
              </w:rPr>
              <w:t>16 bars, 1h</w:t>
            </w:r>
          </w:p>
        </w:tc>
        <w:tc>
          <w:tcPr>
            <w:tcW w:type="dxa" w:w="1632"/>
          </w:tcPr>
          <w:p>
            <w:r>
              <w:rPr>
                <w:b w:val="0"/>
                <w:sz w:val="18"/>
              </w:rPr>
              <w:t>46.3%</w:t>
            </w:r>
          </w:p>
        </w:tc>
        <w:tc>
          <w:tcPr>
            <w:tcW w:type="dxa" w:w="1632"/>
          </w:tcPr>
          <w:p>
            <w:r>
              <w:rPr>
                <w:b w:val="0"/>
                <w:sz w:val="18"/>
              </w:rPr>
              <w:t>0.5627</w:t>
            </w:r>
          </w:p>
        </w:tc>
        <w:tc>
          <w:tcPr>
            <w:tcW w:type="dxa" w:w="1632"/>
          </w:tcPr>
          <w:p>
            <w:r>
              <w:rPr>
                <w:b w:val="0"/>
                <w:sz w:val="18"/>
              </w:rPr>
              <w:t>0.5486</w:t>
            </w:r>
          </w:p>
        </w:tc>
        <w:tc>
          <w:tcPr>
            <w:tcW w:type="dxa" w:w="1632"/>
          </w:tcPr>
          <w:p>
            <w:r>
              <w:rPr>
                <w:b w:val="0"/>
                <w:sz w:val="18"/>
              </w:rPr>
              <w:t>0.5459</w:t>
            </w:r>
          </w:p>
        </w:tc>
        <w:tc>
          <w:tcPr>
            <w:tcW w:type="dxa" w:w="1632"/>
          </w:tcPr>
          <w:p>
            <w:r>
              <w:rPr>
                <w:b w:val="0"/>
                <w:sz w:val="18"/>
              </w:rPr>
              <w:t>0.5445</w:t>
            </w:r>
          </w:p>
        </w:tc>
      </w:tr>
    </w:tbl>
    <w:p>
      <w:pPr/>
      <w:r>
        <w:t>Table R6. Log loss of P(reached within t), real markets. The hazard model is one discrete-time model of P(first touch at bar t | not before); the direct models are one per horizon. Expected time to the zone (given it is reached) ranks realised time at Spearman +0.546 (15m) and +0.553 (1h); the twins' median time at +0.505 and +0.509; distance alone at +0.492 and +0.501.</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sz w:val="18"/>
              </w:rPr>
              <w:t>Estimator</w:t>
            </w:r>
          </w:p>
        </w:tc>
        <w:tc>
          <w:tcPr>
            <w:tcW w:type="dxa" w:w="1958"/>
          </w:tcPr>
          <w:p>
            <w:r>
              <w:rPr>
                <w:b/>
                <w:sz w:val="18"/>
              </w:rPr>
              <w:t>15m long</w:t>
            </w:r>
          </w:p>
        </w:tc>
        <w:tc>
          <w:tcPr>
            <w:tcW w:type="dxa" w:w="1958"/>
          </w:tcPr>
          <w:p>
            <w:r>
              <w:rPr>
                <w:b/>
                <w:sz w:val="18"/>
              </w:rPr>
              <w:t>15m short</w:t>
            </w:r>
          </w:p>
        </w:tc>
        <w:tc>
          <w:tcPr>
            <w:tcW w:type="dxa" w:w="1958"/>
          </w:tcPr>
          <w:p>
            <w:r>
              <w:rPr>
                <w:b/>
                <w:sz w:val="18"/>
              </w:rPr>
              <w:t>1h long</w:t>
            </w:r>
          </w:p>
        </w:tc>
        <w:tc>
          <w:tcPr>
            <w:tcW w:type="dxa" w:w="1958"/>
          </w:tcPr>
          <w:p>
            <w:r>
              <w:rPr>
                <w:b/>
                <w:sz w:val="18"/>
              </w:rPr>
              <w:t>1h short</w:t>
            </w:r>
          </w:p>
        </w:tc>
      </w:tr>
      <w:tr>
        <w:tc>
          <w:tcPr>
            <w:tcW w:type="dxa" w:w="1958"/>
          </w:tcPr>
          <w:p>
            <w:r>
              <w:rPr>
                <w:b w:val="0"/>
                <w:sz w:val="18"/>
              </w:rPr>
              <w:t>Twins, 95th percentile</w:t>
            </w:r>
          </w:p>
        </w:tc>
        <w:tc>
          <w:tcPr>
            <w:tcW w:type="dxa" w:w="1958"/>
          </w:tcPr>
          <w:p>
            <w:r>
              <w:rPr>
                <w:b w:val="0"/>
                <w:sz w:val="18"/>
              </w:rPr>
              <w:t>7.9%, 10.66</w:t>
            </w:r>
          </w:p>
        </w:tc>
        <w:tc>
          <w:tcPr>
            <w:tcW w:type="dxa" w:w="1958"/>
          </w:tcPr>
          <w:p>
            <w:r>
              <w:rPr>
                <w:b w:val="0"/>
                <w:sz w:val="18"/>
              </w:rPr>
              <w:t>7.3%, 10.01</w:t>
            </w:r>
          </w:p>
        </w:tc>
        <w:tc>
          <w:tcPr>
            <w:tcW w:type="dxa" w:w="1958"/>
          </w:tcPr>
          <w:p>
            <w:r>
              <w:rPr>
                <w:b w:val="0"/>
                <w:sz w:val="18"/>
              </w:rPr>
              <w:t>7.5%, 10.82</w:t>
            </w:r>
          </w:p>
        </w:tc>
        <w:tc>
          <w:tcPr>
            <w:tcW w:type="dxa" w:w="1958"/>
          </w:tcPr>
          <w:p>
            <w:r>
              <w:rPr>
                <w:b w:val="0"/>
                <w:sz w:val="18"/>
              </w:rPr>
              <w:t>6.9%, 10.44</w:t>
            </w:r>
          </w:p>
        </w:tc>
      </w:tr>
      <w:tr>
        <w:tc>
          <w:tcPr>
            <w:tcW w:type="dxa" w:w="1958"/>
          </w:tcPr>
          <w:p>
            <w:r>
              <w:rPr>
                <w:b w:val="0"/>
                <w:sz w:val="18"/>
              </w:rPr>
              <w:t>Gaussian from EWMA sigma</w:t>
            </w:r>
          </w:p>
        </w:tc>
        <w:tc>
          <w:tcPr>
            <w:tcW w:type="dxa" w:w="1958"/>
          </w:tcPr>
          <w:p>
            <w:r>
              <w:rPr>
                <w:b w:val="0"/>
                <w:sz w:val="18"/>
              </w:rPr>
              <w:t>4.5%, 13.04</w:t>
            </w:r>
          </w:p>
        </w:tc>
        <w:tc>
          <w:tcPr>
            <w:tcW w:type="dxa" w:w="1958"/>
          </w:tcPr>
          <w:p>
            <w:r>
              <w:rPr>
                <w:b w:val="0"/>
                <w:sz w:val="18"/>
              </w:rPr>
              <w:t>3.5%, 13.04</w:t>
            </w:r>
          </w:p>
        </w:tc>
        <w:tc>
          <w:tcPr>
            <w:tcW w:type="dxa" w:w="1958"/>
          </w:tcPr>
          <w:p>
            <w:r>
              <w:rPr>
                <w:b w:val="0"/>
                <w:sz w:val="18"/>
              </w:rPr>
              <w:t>4.1%, 13.08</w:t>
            </w:r>
          </w:p>
        </w:tc>
        <w:tc>
          <w:tcPr>
            <w:tcW w:type="dxa" w:w="1958"/>
          </w:tcPr>
          <w:p>
            <w:r>
              <w:rPr>
                <w:b w:val="0"/>
                <w:sz w:val="18"/>
              </w:rPr>
              <w:t>3.2%, 13.08</w:t>
            </w:r>
          </w:p>
        </w:tc>
      </w:tr>
      <w:tr>
        <w:tc>
          <w:tcPr>
            <w:tcW w:type="dxa" w:w="1958"/>
          </w:tcPr>
          <w:p>
            <w:r>
              <w:rPr>
                <w:b w:val="0"/>
                <w:sz w:val="18"/>
              </w:rPr>
              <w:t>Quantile gradient boosting</w:t>
            </w:r>
          </w:p>
        </w:tc>
        <w:tc>
          <w:tcPr>
            <w:tcW w:type="dxa" w:w="1958"/>
          </w:tcPr>
          <w:p>
            <w:r>
              <w:rPr>
                <w:b w:val="0"/>
                <w:sz w:val="18"/>
              </w:rPr>
              <w:t>6.1%, 11.43</w:t>
            </w:r>
          </w:p>
        </w:tc>
        <w:tc>
          <w:tcPr>
            <w:tcW w:type="dxa" w:w="1958"/>
          </w:tcPr>
          <w:p>
            <w:r>
              <w:rPr>
                <w:b w:val="0"/>
                <w:sz w:val="18"/>
              </w:rPr>
              <w:t>5.3%, 10.87</w:t>
            </w:r>
          </w:p>
        </w:tc>
        <w:tc>
          <w:tcPr>
            <w:tcW w:type="dxa" w:w="1958"/>
          </w:tcPr>
          <w:p>
            <w:r>
              <w:rPr>
                <w:b w:val="0"/>
                <w:sz w:val="18"/>
              </w:rPr>
              <w:t>6.2%, 11.11</w:t>
            </w:r>
          </w:p>
        </w:tc>
        <w:tc>
          <w:tcPr>
            <w:tcW w:type="dxa" w:w="1958"/>
          </w:tcPr>
          <w:p>
            <w:r>
              <w:rPr>
                <w:b w:val="0"/>
                <w:sz w:val="18"/>
              </w:rPr>
              <w:t>5.1%, 11.12</w:t>
            </w:r>
          </w:p>
        </w:tc>
      </w:tr>
    </w:tbl>
    <w:p>
      <w:pPr/>
      <w:r>
        <w:t>Table R7. The 95% boundary of adverse excursion over 16 bars: share of real outcomes beyond it (target 5%), median width in baseline moves. Used as a stop against a fixed stop of the same median width at equal money at risk, the quantile boundary is stopped slightly less often (e.g. 6.2% against 7.2%, 1h long) and earns the same mean R to within 0.001-0.004 in every cell.</w:t>
      </w:r>
    </w:p>
    <w:p>
      <w:pPr/>
      <w:r>
        <w:t>Direction. No construction of the field, the twins or the state variables forecasts direction usefully. The largest direction AUC in the program is 0.530 (the 15m state-model skew), which loses 0.47 of a baseline move per trade after spread. Separately, fourteen deep sequence architectures on the same windows (CNN, LSTM, stacked LSTM, GRU, vanilla RNN, bidirectional LSTM, transformer, TCN and six hybrids) score direction AUC 0.498-0.516 against the random walks' 0.492-0.511, and every one loses when traded.</w:t>
      </w:r>
    </w:p>
    <w:p>
      <w:pPr/>
      <w:r>
        <w:rPr>
          <w:b/>
        </w:rPr>
        <w:t>15.5 Threats addressed</w:t>
      </w:r>
    </w:p>
    <w:p>
      <w:pPr/>
      <w:r>
        <w:t>A first run allowed training moments to retrieve twins from their own neighbourhood in time. Their futures overlapped the query's, the combined model over-trusted the evidence, and its top probability bin was predicted at 0.969 and realised at 0.884. Excluding same-series twins within H bars, as Section 9 prescribes, removed the effect (0.976 / 0.964). Cross-asset retrieval was pooled; within-asset and cross-asset performance were not separated.</w:t>
      </w:r>
    </w:p>
    <w:p>
      <w:pPr/>
      <w:r>
        <w:rPr>
          <w:b/>
        </w:rPr>
        <w:t>15.6 Conclusion</w:t>
      </w:r>
    </w:p>
    <w:p>
      <w:pPr/>
      <w:r>
        <w:t>Markets rhyme fractally in volatility, not in direction. Historical twins carry real information about the size and timing of the next move, and that memory does not decay over the history available. They are nevertheless a weaker estimator than a trailing volatility or a model fitted to the same windows, and they have no directional content.</w:t>
      </w:r>
    </w:p>
    <w:p>
      <w:pPr>
        <w:pStyle w:val="Heading1"/>
      </w:pPr>
      <w:r>
        <w:t>References</w:t>
      </w:r>
    </w:p>
    <w:p>
      <w:r>
        <w:t>Peters, E. E. (1991). Chaos and Order in the Capital Markets: A New View of Cycles, Prices, and Market Volatility. Wiley.</w:t>
      </w:r>
    </w:p>
    <w:p>
      <w:r>
        <w:t>Peters, E. E. (1994). Fractal Market Analysis: Applying Chaos Theory to Investment and Economics. Wiley.</w:t>
      </w:r>
    </w:p>
    <w:p>
      <w:r>
        <w:t>Bailey, D. H., &amp; López de Prado, M. (2014). The Deflated Sharpe Ratio: Correcting for Selection Bias, Backtest Overfitting and Non-Normality. Journal of Portfolio Management, 40(5), 94–107.</w:t>
      </w:r>
    </w:p>
    <w:p>
      <w:r>
        <w:t>Bailey, D. H., Borwein, J., López de Prado, M., &amp; Zhu, Q. J. (2015). The Probability of Backtest Overfitting. Journal of Computational Finance.</w:t>
      </w:r>
    </w:p>
    <w:p>
      <w:r>
        <w:t>Ghosh, R., &amp; Devarakonda, V. (2026). FinBench: Time-Gated Calibration and Uncertainty Benchmarking for Agentic Financial Forecasting. arXiv.</w:t>
      </w:r>
    </w:p>
    <w:p>
      <w:r>
        <w:t>Du, H. (2020). Beyond Strictly Proper Scoring Rules: The Importance of Being Local. arXiv:2012.12499.</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