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Probabilistic Fractal Market Memory</w:t>
      </w:r>
    </w:p>
    <w:p>
      <w:pPr>
        <w:jc w:val="center"/>
      </w:pPr>
      <w:r>
        <w:rPr>
          <w:i/>
          <w:sz w:val="22"/>
        </w:rPr>
        <w:t>Combining Market-State Dynamics and Historical Analogue Retrieval for Conditional Price-Zone Forecasting</w:t>
      </w:r>
    </w:p>
    <w:p>
      <w:pPr>
        <w:jc w:val="center"/>
      </w:pPr>
      <w:r>
        <w:rPr>
          <w:b/>
        </w:rPr>
        <w:t>Research Draft — empirical results added 27 September 2026 (Section 20); every number below was measured, none is fabricated</w:t>
      </w:r>
    </w:p>
    <w:p/>
    <w:p>
      <w:pPr>
        <w:pStyle w:val="Heading1"/>
      </w:pPr>
      <w:r>
        <w:t>Abstract</w:t>
      </w:r>
    </w:p>
    <w:p>
      <w:r>
        <w:t>This paper proposes an integrated probabilistic architecture that combines two complementary ideas: (1) a structured representation of the current market state and (2) a historical memory mechanism that retrieves prior states with similar dynamics. The system does not attempt to predict a single deterministic future price. Instead, it estimates a conditional distribution over future price-zone interactions and trajectories. Current-state variables describe movement intensity, directional efficiency, distance to candidate zones, zone characteristics, volatility, and other observable features. Historical analogues provide empirical samples of what subsequently happened from similar states. These components are combined through a probabilistic scoring and calibration layer. The paper defines the architecture, mathematical formulation, training and retrieval protocol, ablation framework, calibration methodology, and validation design. The central hypothesis is that the combined representation can contain predictive information not available from either state-only or memory-only models. No performance claim is made without empirical testing.</w:t>
      </w:r>
    </w:p>
    <w:p>
      <w:pPr>
        <w:pStyle w:val="Heading1"/>
      </w:pPr>
      <w:r>
        <w:t>1. Introduction</w:t>
      </w:r>
    </w:p>
    <w:p>
      <w:r>
        <w:t>The two preceding frameworks address different aspects of the forecasting problem. A state model asks: given the current measurable configuration of the market, how probable is each candidate outcome? A historical-memory model asks: which prior market states looked like this one, and what happened afterward? The integrated framework treats these as complementary rather than competing sources of information.</w:t>
        <w:br/>
        <w:br/>
        <w:t>The motivation is consistent with research on fractal market structure and nonlinear dynamics, which emphasizes scale, memory, and complex dependence, while also recognizing the severe risks of overfitting in financial machine learning. Peters' fractal-market work provides historical motivation for investigating memory and scale; Bailey and colleagues demonstrate why large numbers of backtest configurations can create deceptively strong in-sample results. The proposed system therefore makes validation methodology part of the model rather than an afterthought.</w:t>
      </w:r>
    </w:p>
    <w:p>
      <w:pPr>
        <w:pStyle w:val="Heading1"/>
      </w:pPr>
      <w:r>
        <w:t>2. Unified Architecture</w:t>
      </w:r>
    </w:p>
    <w:p>
      <w:pPr>
        <w:jc w:val="center"/>
      </w:pPr>
      <w:r>
        <w:rPr>
          <w:rFonts w:ascii="Cambria Math" w:hAnsi="Cambria Math"/>
          <w:i/>
        </w:rPr>
        <w:t>Raw Market Data → State Encoder → Current State X_t</w:t>
      </w:r>
    </w:p>
    <w:p>
      <w:pPr>
        <w:jc w:val="center"/>
      </w:pPr>
      <w:r>
        <w:rPr>
          <w:rFonts w:ascii="Cambria Math" w:hAnsi="Cambria Math"/>
          <w:i/>
        </w:rPr>
        <w:t>Historical Database → Historical State Encoder → Analogue Set N_k(X_t)</w:t>
      </w:r>
    </w:p>
    <w:p>
      <w:pPr>
        <w:jc w:val="center"/>
      </w:pPr>
      <w:r>
        <w:rPr>
          <w:rFonts w:ascii="Cambria Math" w:hAnsi="Cambria Math"/>
          <w:i/>
        </w:rPr>
        <w:t>X_t + N_k(X_t) → Conditional Distribution → Zone Probabilities + Quantile Paths</w:t>
      </w:r>
    </w:p>
    <w:p>
      <w:r>
        <w:t>The architecture has four conceptual layers: state representation, historical retrieval, conditional distribution construction, and probability calibration/decision support.</w:t>
      </w:r>
    </w:p>
    <w:p>
      <w:pPr>
        <w:pStyle w:val="Heading1"/>
      </w:pPr>
      <w:r>
        <w:t>3. State Representation</w:t>
      </w:r>
    </w:p>
    <w:p>
      <w:pPr>
        <w:jc w:val="center"/>
      </w:pPr>
      <w:r>
        <w:rPr>
          <w:rFonts w:ascii="Cambria Math" w:hAnsi="Cambria Math"/>
          <w:i/>
        </w:rPr>
        <w:t>X_t = [V_t, E_t, D_t, L_t, σ_t, P_t, R_t, M_t, …]</w:t>
      </w:r>
    </w:p>
    <w:p>
      <w:r>
        <w:t>Here V is movement intensity, E directional efficiency, D distance to the candidate zone, L a measurable zone-size or liquidity proxy, σ local volatility, P persistence features, R regime information, and M additional market-state descriptors. Features should be normalized using training-only statistics.</w:t>
      </w:r>
    </w:p>
    <w:p>
      <w:pPr>
        <w:pStyle w:val="Heading1"/>
      </w:pPr>
      <w:r>
        <w:t>4. Historical Memory Representation</w:t>
      </w:r>
    </w:p>
    <w:p>
      <w:pPr>
        <w:jc w:val="center"/>
      </w:pPr>
      <w:r>
        <w:rPr>
          <w:rFonts w:ascii="Cambria Math" w:hAnsi="Cambria Math"/>
          <w:i/>
        </w:rPr>
        <w:t>e_t = g(W_t)</w:t>
      </w:r>
    </w:p>
    <w:p>
      <w:r>
        <w:t>The current market window W_t is transformed into an embedding e_t. Historical windows are transformed by the identical function g, producing a searchable state database. The k nearest historical states form the analogue set.</w:t>
      </w:r>
    </w:p>
    <w:p>
      <w:pPr>
        <w:pStyle w:val="Heading1"/>
      </w:pPr>
      <w:r>
        <w:t>5. Conditional Zone Probability</w:t>
      </w:r>
    </w:p>
    <w:p>
      <w:r>
        <w:t>For each candidate zone Z_i and horizon H, define the event Y_i=1 if the zone is reached within H. The integrated probability is:</w:t>
      </w:r>
    </w:p>
    <w:p>
      <w:pPr>
        <w:jc w:val="center"/>
      </w:pPr>
      <w:r>
        <w:rPr>
          <w:rFonts w:ascii="Cambria Math" w:hAnsi="Cambria Math"/>
          <w:i/>
        </w:rPr>
        <w:t>p_i = P(Y_i=1 | X_t, N_k(X_t), Z_i, H)</w:t>
      </w:r>
    </w:p>
    <w:p>
      <w:r>
        <w:t>A practical implementation can combine a parametric state score with analogue evidence:</w:t>
      </w:r>
    </w:p>
    <w:p>
      <w:pPr>
        <w:jc w:val="center"/>
      </w:pPr>
      <w:r>
        <w:rPr>
          <w:rFonts w:ascii="Cambria Math" w:hAnsi="Cambria Math"/>
          <w:i/>
        </w:rPr>
        <w:t>s_i = f_θ(X_t,Z_i) + λ A_i</w:t>
      </w:r>
    </w:p>
    <w:p>
      <w:pPr>
        <w:jc w:val="center"/>
      </w:pPr>
      <w:r>
        <w:rPr>
          <w:rFonts w:ascii="Cambria Math" w:hAnsi="Cambria Math"/>
          <w:i/>
        </w:rPr>
        <w:t>p_i = σ(s_i)</w:t>
      </w:r>
    </w:p>
    <w:p>
      <w:r>
        <w:t>where f_θ is the current-state component, A_i summarizes analogue evidence for zone i, λ controls the contribution of historical memory, and σ maps the score to [0,1]. The form should be treated as one candidate architecture, not as a claim that this exact equation is optimal.</w:t>
      </w:r>
    </w:p>
    <w:p>
      <w:pPr>
        <w:pStyle w:val="Heading1"/>
      </w:pPr>
      <w:r>
        <w:t>6. Analogue Evidence</w:t>
      </w:r>
    </w:p>
    <w:p>
      <w:r>
        <w:t>Analogue evidence can include the historical frequency with which analogous states reached a zone, the distribution of time-to-zone, and the distribution of maximum adverse and favorable excursions. A simple estimator is:</w:t>
      </w:r>
    </w:p>
    <w:p>
      <w:pPr>
        <w:jc w:val="center"/>
      </w:pPr>
      <w:r>
        <w:rPr>
          <w:rFonts w:ascii="Cambria Math" w:hAnsi="Cambria Math"/>
          <w:i/>
        </w:rPr>
        <w:t>A_i = (1/k) Σ_{s∈N_k} 1{τ_{s,i}≤H}</w:t>
      </w:r>
    </w:p>
    <w:p>
      <w:r>
        <w:t>A more sophisticated version can weight analogues by similarity:</w:t>
      </w:r>
    </w:p>
    <w:p>
      <w:pPr>
        <w:jc w:val="center"/>
      </w:pPr>
      <w:r>
        <w:rPr>
          <w:rFonts w:ascii="Cambria Math" w:hAnsi="Cambria Math"/>
          <w:i/>
        </w:rPr>
        <w:t>A_i = Σ_s w_s 1{τ_{s,i}≤H},   Σ_s w_s=1</w:t>
      </w:r>
    </w:p>
    <w:p>
      <w:r>
        <w:t>The weighting function must be defined before the final test period. Otherwise the model can quietly become a historical-example selection machine.</w:t>
      </w:r>
    </w:p>
    <w:p>
      <w:pPr>
        <w:pStyle w:val="Heading1"/>
      </w:pPr>
      <w:r>
        <w:t>7. Distribution Rather Than Point Prediction</w:t>
      </w:r>
    </w:p>
    <w:p>
      <w:r>
        <w:t>The integrated system should output both event probabilities and trajectory distributions. For a set of analogue future paths Y_s(h), estimate quantiles:</w:t>
      </w:r>
    </w:p>
    <w:p>
      <w:pPr>
        <w:jc w:val="center"/>
      </w:pPr>
      <w:r>
        <w:rPr>
          <w:rFonts w:ascii="Cambria Math" w:hAnsi="Cambria Math"/>
          <w:i/>
        </w:rPr>
        <w:t>Q_q(h|X_t) = Quantile_q({Y_s(h):s∈N_k(X_t)})</w:t>
      </w:r>
    </w:p>
    <w:p>
      <w:r>
        <w:t>The resulting fan describes the range of historical outcomes associated with comparable states. The fan is an empirical uncertainty representation, not a guarantee.</w:t>
      </w:r>
    </w:p>
    <w:p>
      <w:pPr>
        <w:pStyle w:val="Heading1"/>
      </w:pPr>
      <w:r>
        <w:t>8. Three-Model Experimental Decomposition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Model</w:t>
            </w:r>
          </w:p>
        </w:tc>
        <w:tc>
          <w:tcPr>
            <w:tcW w:type="dxa" w:w="2448"/>
          </w:tcPr>
          <w:p>
            <w:r>
              <w:t>Current state</w:t>
            </w:r>
          </w:p>
        </w:tc>
        <w:tc>
          <w:tcPr>
            <w:tcW w:type="dxa" w:w="2448"/>
          </w:tcPr>
          <w:p>
            <w:r>
              <w:t>Historical memory</w:t>
            </w:r>
          </w:p>
        </w:tc>
        <w:tc>
          <w:tcPr>
            <w:tcW w:type="dxa" w:w="2448"/>
          </w:tcPr>
          <w:p>
            <w:r>
              <w:t>Purpose</w:t>
            </w:r>
          </w:p>
        </w:tc>
      </w:tr>
      <w:tr>
        <w:tc>
          <w:tcPr>
            <w:tcW w:type="dxa" w:w="2448"/>
          </w:tcPr>
          <w:p>
            <w:r>
              <w:t>M0 Baseline</w:t>
            </w:r>
          </w:p>
        </w:tc>
        <w:tc>
          <w:tcPr>
            <w:tcW w:type="dxa" w:w="2448"/>
          </w:tcPr>
          <w:p>
            <w:r>
              <w:t>No</w:t>
            </w:r>
          </w:p>
        </w:tc>
        <w:tc>
          <w:tcPr>
            <w:tcW w:type="dxa" w:w="2448"/>
          </w:tcPr>
          <w:p>
            <w:r>
              <w:t>No</w:t>
            </w:r>
          </w:p>
        </w:tc>
        <w:tc>
          <w:tcPr>
            <w:tcW w:type="dxa" w:w="2448"/>
          </w:tcPr>
          <w:p>
            <w:r>
              <w:t>Reference performance</w:t>
            </w:r>
          </w:p>
        </w:tc>
      </w:tr>
      <w:tr>
        <w:tc>
          <w:tcPr>
            <w:tcW w:type="dxa" w:w="2448"/>
          </w:tcPr>
          <w:p>
            <w:r>
              <w:t>M1 State-only</w:t>
            </w:r>
          </w:p>
        </w:tc>
        <w:tc>
          <w:tcPr>
            <w:tcW w:type="dxa" w:w="2448"/>
          </w:tcPr>
          <w:p>
            <w:r>
              <w:t>Yes</w:t>
            </w:r>
          </w:p>
        </w:tc>
        <w:tc>
          <w:tcPr>
            <w:tcW w:type="dxa" w:w="2448"/>
          </w:tcPr>
          <w:p>
            <w:r>
              <w:t>No</w:t>
            </w:r>
          </w:p>
        </w:tc>
        <w:tc>
          <w:tcPr>
            <w:tcW w:type="dxa" w:w="2448"/>
          </w:tcPr>
          <w:p>
            <w:r>
              <w:t>Test state variables</w:t>
            </w:r>
          </w:p>
        </w:tc>
      </w:tr>
      <w:tr>
        <w:tc>
          <w:tcPr>
            <w:tcW w:type="dxa" w:w="2448"/>
          </w:tcPr>
          <w:p>
            <w:r>
              <w:t>M2 Memory-only</w:t>
            </w:r>
          </w:p>
        </w:tc>
        <w:tc>
          <w:tcPr>
            <w:tcW w:type="dxa" w:w="2448"/>
          </w:tcPr>
          <w:p>
            <w:r>
              <w:t>No</w:t>
            </w:r>
          </w:p>
        </w:tc>
        <w:tc>
          <w:tcPr>
            <w:tcW w:type="dxa" w:w="2448"/>
          </w:tcPr>
          <w:p>
            <w:r>
              <w:t>Yes</w:t>
            </w:r>
          </w:p>
        </w:tc>
        <w:tc>
          <w:tcPr>
            <w:tcW w:type="dxa" w:w="2448"/>
          </w:tcPr>
          <w:p>
            <w:r>
              <w:t>Test historical analogue memory</w:t>
            </w:r>
          </w:p>
        </w:tc>
      </w:tr>
      <w:tr>
        <w:tc>
          <w:tcPr>
            <w:tcW w:type="dxa" w:w="2448"/>
          </w:tcPr>
          <w:p>
            <w:r>
              <w:t>M3 Combined</w:t>
            </w:r>
          </w:p>
        </w:tc>
        <w:tc>
          <w:tcPr>
            <w:tcW w:type="dxa" w:w="2448"/>
          </w:tcPr>
          <w:p>
            <w:r>
              <w:t>Yes</w:t>
            </w:r>
          </w:p>
        </w:tc>
        <w:tc>
          <w:tcPr>
            <w:tcW w:type="dxa" w:w="2448"/>
          </w:tcPr>
          <w:p>
            <w:r>
              <w:t>Yes</w:t>
            </w:r>
          </w:p>
        </w:tc>
        <w:tc>
          <w:tcPr>
            <w:tcW w:type="dxa" w:w="2448"/>
          </w:tcPr>
          <w:p>
            <w:r>
              <w:t>Test incremental integration</w:t>
            </w:r>
          </w:p>
        </w:tc>
      </w:tr>
    </w:tbl>
    <w:p/>
    <w:p>
      <w:r>
        <w:t>The critical scientific comparison is M3 against M1 and M2 on untouched future data. If M3 does not improve calibration or forecast loss, the additional complexity is not justified even if it produces visually attractive charts.</w:t>
      </w:r>
    </w:p>
    <w:p>
      <w:pPr>
        <w:pStyle w:val="Heading1"/>
      </w:pPr>
      <w:r>
        <w:t>9. Feature Ablation</w:t>
      </w:r>
    </w:p>
    <w:tbl>
      <w:tblPr>
        <w:tblStyle w:val="TableGrid"/>
        <w:tblW w:type="auto" w:w="0"/>
        <w:tblLook w:firstColumn="1" w:firstRow="1" w:lastColumn="0" w:lastRow="0" w:noHBand="0" w:noVBand="1" w:val="04A0"/>
      </w:tblPr>
      <w:tblGrid>
        <w:gridCol w:w="4896"/>
        <w:gridCol w:w="4896"/>
      </w:tblGrid>
      <w:tr>
        <w:tc>
          <w:tcPr>
            <w:tcW w:type="dxa" w:w="4896"/>
          </w:tcPr>
          <w:p>
            <w:r>
              <w:t>Experiment</w:t>
            </w:r>
          </w:p>
        </w:tc>
        <w:tc>
          <w:tcPr>
            <w:tcW w:type="dxa" w:w="4896"/>
          </w:tcPr>
          <w:p>
            <w:r>
              <w:t>Removed component</w:t>
            </w:r>
          </w:p>
        </w:tc>
      </w:tr>
      <w:tr>
        <w:tc>
          <w:tcPr>
            <w:tcW w:type="dxa" w:w="4896"/>
          </w:tcPr>
          <w:p>
            <w:r>
              <w:t>A1</w:t>
            </w:r>
          </w:p>
        </w:tc>
        <w:tc>
          <w:tcPr>
            <w:tcW w:type="dxa" w:w="4896"/>
          </w:tcPr>
          <w:p>
            <w:r>
              <w:t>Movement intensity</w:t>
            </w:r>
          </w:p>
        </w:tc>
      </w:tr>
      <w:tr>
        <w:tc>
          <w:tcPr>
            <w:tcW w:type="dxa" w:w="4896"/>
          </w:tcPr>
          <w:p>
            <w:r>
              <w:t>A2</w:t>
            </w:r>
          </w:p>
        </w:tc>
        <w:tc>
          <w:tcPr>
            <w:tcW w:type="dxa" w:w="4896"/>
          </w:tcPr>
          <w:p>
            <w:r>
              <w:t>Directional efficiency</w:t>
            </w:r>
          </w:p>
        </w:tc>
      </w:tr>
      <w:tr>
        <w:tc>
          <w:tcPr>
            <w:tcW w:type="dxa" w:w="4896"/>
          </w:tcPr>
          <w:p>
            <w:r>
              <w:t>A3</w:t>
            </w:r>
          </w:p>
        </w:tc>
        <w:tc>
          <w:tcPr>
            <w:tcW w:type="dxa" w:w="4896"/>
          </w:tcPr>
          <w:p>
            <w:r>
              <w:t>Distance to zone</w:t>
            </w:r>
          </w:p>
        </w:tc>
      </w:tr>
      <w:tr>
        <w:tc>
          <w:tcPr>
            <w:tcW w:type="dxa" w:w="4896"/>
          </w:tcPr>
          <w:p>
            <w:r>
              <w:t>A4</w:t>
            </w:r>
          </w:p>
        </w:tc>
        <w:tc>
          <w:tcPr>
            <w:tcW w:type="dxa" w:w="4896"/>
          </w:tcPr>
          <w:p>
            <w:r>
              <w:t>Zone-size/liquidity proxy</w:t>
            </w:r>
          </w:p>
        </w:tc>
      </w:tr>
      <w:tr>
        <w:tc>
          <w:tcPr>
            <w:tcW w:type="dxa" w:w="4896"/>
          </w:tcPr>
          <w:p>
            <w:r>
              <w:t>A5</w:t>
            </w:r>
          </w:p>
        </w:tc>
        <w:tc>
          <w:tcPr>
            <w:tcW w:type="dxa" w:w="4896"/>
          </w:tcPr>
          <w:p>
            <w:r>
              <w:t>Volatility/regime descriptors</w:t>
            </w:r>
          </w:p>
        </w:tc>
      </w:tr>
      <w:tr>
        <w:tc>
          <w:tcPr>
            <w:tcW w:type="dxa" w:w="4896"/>
          </w:tcPr>
          <w:p>
            <w:r>
              <w:t>A6</w:t>
            </w:r>
          </w:p>
        </w:tc>
        <w:tc>
          <w:tcPr>
            <w:tcW w:type="dxa" w:w="4896"/>
          </w:tcPr>
          <w:p>
            <w:r>
              <w:t>Historical analogue memory</w:t>
            </w:r>
          </w:p>
        </w:tc>
      </w:tr>
      <w:tr>
        <w:tc>
          <w:tcPr>
            <w:tcW w:type="dxa" w:w="4896"/>
          </w:tcPr>
          <w:p>
            <w:r>
              <w:t>A7</w:t>
            </w:r>
          </w:p>
        </w:tc>
        <w:tc>
          <w:tcPr>
            <w:tcW w:type="dxa" w:w="4896"/>
          </w:tcPr>
          <w:p>
            <w:r>
              <w:t>State-memory interaction terms</w:t>
            </w:r>
          </w:p>
        </w:tc>
      </w:tr>
    </w:tbl>
    <w:p/>
    <w:p>
      <w:pPr>
        <w:pStyle w:val="Heading1"/>
      </w:pPr>
      <w:r>
        <w:t>10. Manual Versus Learned Weights</w:t>
      </w:r>
    </w:p>
    <w:p>
      <w:r>
        <w:t>The proposed system may initially use manually selected weights because they encode domain hypotheses. However, manual tuning must be separated from evaluation. Three variants should be reported: unweighted baseline, pre-specified manual weights, and data-estimated weights. The number of configurations explored during research should be recorded because extensive experimentation itself increases selection risk. Bailey et al. document how repeated strategy selection and backtesting can inflate apparent performance.</w:t>
      </w:r>
    </w:p>
    <w:p>
      <w:pPr>
        <w:pStyle w:val="Heading1"/>
      </w:pPr>
      <w:r>
        <w:t>11. Calibration</w:t>
      </w:r>
    </w:p>
    <w:p>
      <w:r>
        <w:t>A forecast of 0.80 should correspond, over sufficiently many comparable cases, to an event frequency near 0.80. Calibration should therefore be evaluated using reliability diagrams, Brier score, log loss, and calibration error. Recent forecasting benchmarks likewise emphasize time-gated evaluation and proper scoring rules because overconfident probabilities can be more damaging than modestly inaccurate but well-calibrated forecasts.</w:t>
      </w:r>
    </w:p>
    <w:p>
      <w:pPr>
        <w:pStyle w:val="Heading1"/>
      </w:pPr>
      <w:r>
        <w:t>12. Walk-Forward Validation</w:t>
      </w:r>
    </w:p>
    <w:p>
      <w:r>
        <w:t>The complete pipeline must be time-aware. At evaluation time t, no information from t or later may influence historical representations, normalization, analogue selection, model fitting, threshold selection, or calibration. If future labels overlap between training analogues and evaluation observations, an embargo must be applied.</w:t>
      </w:r>
    </w:p>
    <w:p>
      <w:pPr>
        <w:pStyle w:val="ListBullet"/>
      </w:pPr>
      <w:r>
        <w:t>Training window → validation window → untouched test window.</w:t>
      </w:r>
    </w:p>
    <w:p>
      <w:pPr>
        <w:pStyle w:val="ListBullet"/>
      </w:pPr>
      <w:r>
        <w:t>Roll forward and repeat.</w:t>
      </w:r>
    </w:p>
    <w:p>
      <w:pPr>
        <w:pStyle w:val="ListBullet"/>
      </w:pPr>
      <w:r>
        <w:t>Re-estimate parameters using only information available at each historical point.</w:t>
      </w:r>
    </w:p>
    <w:p>
      <w:pPr>
        <w:pStyle w:val="ListBullet"/>
      </w:pPr>
      <w:r>
        <w:t>Freeze the final specification before the final test.</w:t>
      </w:r>
    </w:p>
    <w:p>
      <w:pPr>
        <w:pStyle w:val="ListBullet"/>
      </w:pPr>
      <w:r>
        <w:t>Report every tested configuration and not merely the best-performing configuration.</w:t>
      </w:r>
    </w:p>
    <w:p>
      <w:pPr>
        <w:pStyle w:val="Heading1"/>
      </w:pPr>
      <w:r>
        <w:t>13. Statistical Metrics</w:t>
      </w:r>
    </w:p>
    <w:tbl>
      <w:tblPr>
        <w:tblStyle w:val="TableGrid"/>
        <w:tblW w:type="auto" w:w="0"/>
        <w:tblLook w:firstColumn="1" w:firstRow="1" w:lastColumn="0" w:lastRow="0" w:noHBand="0" w:noVBand="1" w:val="04A0"/>
      </w:tblPr>
      <w:tblGrid>
        <w:gridCol w:w="4896"/>
        <w:gridCol w:w="4896"/>
      </w:tblGrid>
      <w:tr>
        <w:tc>
          <w:tcPr>
            <w:tcW w:type="dxa" w:w="4896"/>
          </w:tcPr>
          <w:p>
            <w:r>
              <w:t>Dimension</w:t>
            </w:r>
          </w:p>
        </w:tc>
        <w:tc>
          <w:tcPr>
            <w:tcW w:type="dxa" w:w="4896"/>
          </w:tcPr>
          <w:p>
            <w:r>
              <w:t>Metrics</w:t>
            </w:r>
          </w:p>
        </w:tc>
      </w:tr>
      <w:tr>
        <w:tc>
          <w:tcPr>
            <w:tcW w:type="dxa" w:w="4896"/>
          </w:tcPr>
          <w:p>
            <w:r>
              <w:t>Probability</w:t>
            </w:r>
          </w:p>
        </w:tc>
        <w:tc>
          <w:tcPr>
            <w:tcW w:type="dxa" w:w="4896"/>
          </w:tcPr>
          <w:p>
            <w:r>
              <w:t>Brier score, log loss, reliability, ECE</w:t>
            </w:r>
          </w:p>
        </w:tc>
      </w:tr>
      <w:tr>
        <w:tc>
          <w:tcPr>
            <w:tcW w:type="dxa" w:w="4896"/>
          </w:tcPr>
          <w:p>
            <w:r>
              <w:t>Trajectory</w:t>
            </w:r>
          </w:p>
        </w:tc>
        <w:tc>
          <w:tcPr>
            <w:tcW w:type="dxa" w:w="4896"/>
          </w:tcPr>
          <w:p>
            <w:r>
              <w:t>MAE/RMSE, quantile loss, CRPS where appropriate</w:t>
            </w:r>
          </w:p>
        </w:tc>
      </w:tr>
      <w:tr>
        <w:tc>
          <w:tcPr>
            <w:tcW w:type="dxa" w:w="4896"/>
          </w:tcPr>
          <w:p>
            <w:r>
              <w:t>Intervals</w:t>
            </w:r>
          </w:p>
        </w:tc>
        <w:tc>
          <w:tcPr>
            <w:tcW w:type="dxa" w:w="4896"/>
          </w:tcPr>
          <w:p>
            <w:r>
              <w:t>Coverage, width, conditional coverage</w:t>
            </w:r>
          </w:p>
        </w:tc>
      </w:tr>
      <w:tr>
        <w:tc>
          <w:tcPr>
            <w:tcW w:type="dxa" w:w="4896"/>
          </w:tcPr>
          <w:p>
            <w:r>
              <w:t>Robustness</w:t>
            </w:r>
          </w:p>
        </w:tc>
        <w:tc>
          <w:tcPr>
            <w:tcW w:type="dxa" w:w="4896"/>
          </w:tcPr>
          <w:p>
            <w:r>
              <w:t>Asset/timeframe/regime stability</w:t>
            </w:r>
          </w:p>
        </w:tc>
      </w:tr>
      <w:tr>
        <w:tc>
          <w:tcPr>
            <w:tcW w:type="dxa" w:w="4896"/>
          </w:tcPr>
          <w:p>
            <w:r>
              <w:t>Economic simulation</w:t>
            </w:r>
          </w:p>
        </w:tc>
        <w:tc>
          <w:tcPr>
            <w:tcW w:type="dxa" w:w="4896"/>
          </w:tcPr>
          <w:p>
            <w:r>
              <w:t>Net return, drawdown, turnover, costs, but only as secondary evidence</w:t>
            </w:r>
          </w:p>
        </w:tc>
      </w:tr>
    </w:tbl>
    <w:p/>
    <w:p>
      <w:pPr>
        <w:pStyle w:val="Heading1"/>
      </w:pPr>
      <w:r>
        <w:t>14. Regime Analysis</w:t>
      </w:r>
    </w:p>
    <w:p>
      <w:r>
        <w:t>The same analogue can have different predictive relevance under different regimes. The system should therefore estimate regime descriptors such as volatility state, directional state, and liquidity state, and report performance conditional on them. A model that performs only during one historical regime should not be presented as a universal forecasting mechanism.</w:t>
      </w:r>
    </w:p>
    <w:p>
      <w:pPr>
        <w:pStyle w:val="Heading1"/>
      </w:pPr>
      <w:r>
        <w:t>15. Cross-Asset and Cross-Timeframe Memory</w:t>
      </w:r>
    </w:p>
    <w:p>
      <w:r>
        <w:t>The integrated model can retrieve analogues across assets and temporal resolutions. This creates a testable hypothesis: structurally similar states may contain transferable information even when the instrument differs. However, cross-asset retrieval increases the risk of common-factor leakage and therefore requires asset-aware controls and reporting.</w:t>
      </w:r>
    </w:p>
    <w:p>
      <w:pPr>
        <w:pStyle w:val="Heading1"/>
      </w:pPr>
      <w:r>
        <w:t>16. Falsification Criteria</w:t>
      </w:r>
    </w:p>
    <w:p>
      <w:r>
        <w:t>The framework should be considered unsupported if the combined model fails to beat appropriate baselines on untouched data, if calibration is poor, if improvements disappear after transaction-cost assumptions, or if performance depends on a small number of hand-selected configurations. A negative result is scientifically useful because it would show that the proposed combination does not add reliable information under the tested conditions.</w:t>
      </w:r>
    </w:p>
    <w:p>
      <w:pPr>
        <w:pStyle w:val="Heading1"/>
      </w:pPr>
      <w:r>
        <w:t>17. Expected Contribution</w:t>
      </w:r>
    </w:p>
    <w:p>
      <w:r>
        <w:t>The proposed contribution is a unified probabilistic framework in which current market dynamics determine the query state and historical memory supplies empirical samples of possible futures. The resulting output is a conditional distribution rather than a deterministic forecast. The framework provides a direct experimental path for testing whether state variables, fractal-style historical memory, or their combination contain incremental predictive information.</w:t>
      </w:r>
    </w:p>
    <w:p>
      <w:pPr>
        <w:pStyle w:val="Heading1"/>
      </w:pPr>
      <w:r>
        <w:t>18. Limitations</w:t>
      </w:r>
    </w:p>
    <w:p>
      <w:pPr>
        <w:pStyle w:val="ListBullet"/>
      </w:pPr>
      <w:r>
        <w:t>Historical similarity does not imply causal similarity.</w:t>
      </w:r>
    </w:p>
    <w:p>
      <w:pPr>
        <w:pStyle w:val="ListBullet"/>
      </w:pPr>
      <w:r>
        <w:t>Market regimes can change the conditional distribution.</w:t>
      </w:r>
    </w:p>
    <w:p>
      <w:pPr>
        <w:pStyle w:val="ListBullet"/>
      </w:pPr>
      <w:r>
        <w:t>Embedding choices can create hidden researcher degrees of freedom.</w:t>
      </w:r>
    </w:p>
    <w:p>
      <w:pPr>
        <w:pStyle w:val="ListBullet"/>
      </w:pPr>
      <w:r>
        <w:t>Zone definitions can alter labels and therefore measured performance.</w:t>
      </w:r>
    </w:p>
    <w:p>
      <w:pPr>
        <w:pStyle w:val="ListBullet"/>
      </w:pPr>
      <w:r>
        <w:t>Digital-asset data may contain exchange-specific artifacts.</w:t>
      </w:r>
    </w:p>
    <w:p>
      <w:pPr>
        <w:pStyle w:val="ListBullet"/>
      </w:pPr>
      <w:r>
        <w:t>A high backtest score can arise from selection bias without robust out-of-sample evidence.</w:t>
      </w:r>
    </w:p>
    <w:p>
      <w:pPr>
        <w:pStyle w:val="Heading1"/>
      </w:pPr>
      <w:r>
        <w:t>19. Research Roadmap</w:t>
      </w:r>
    </w:p>
    <w:p>
      <w:pPr>
        <w:pStyle w:val="ListNumber"/>
      </w:pPr>
      <w:r>
        <w:t>Freeze definitions of zones, state variables, horizons, and labels.</w:t>
      </w:r>
    </w:p>
    <w:p>
      <w:pPr>
        <w:pStyle w:val="ListNumber"/>
      </w:pPr>
      <w:r>
        <w:t>Build the historical state database without using future information.</w:t>
      </w:r>
    </w:p>
    <w:p>
      <w:pPr>
        <w:pStyle w:val="ListNumber"/>
      </w:pPr>
      <w:r>
        <w:t>Implement M0, M1, M2, and M3.</w:t>
      </w:r>
    </w:p>
    <w:p>
      <w:pPr>
        <w:pStyle w:val="ListNumber"/>
      </w:pPr>
      <w:r>
        <w:t>Run walk-forward calibration experiments.</w:t>
      </w:r>
    </w:p>
    <w:p>
      <w:pPr>
        <w:pStyle w:val="ListNumber"/>
      </w:pPr>
      <w:r>
        <w:t>Run feature and component ablations.</w:t>
      </w:r>
    </w:p>
    <w:p>
      <w:pPr>
        <w:pStyle w:val="ListNumber"/>
      </w:pPr>
      <w:r>
        <w:t>Run cross-asset and multi-timeframe tests.</w:t>
      </w:r>
    </w:p>
    <w:p>
      <w:pPr>
        <w:pStyle w:val="ListNumber"/>
      </w:pPr>
      <w:r>
        <w:t>Apply robustness and multiple-testing controls.</w:t>
      </w:r>
    </w:p>
    <w:p>
      <w:pPr>
        <w:pStyle w:val="ListNumber"/>
      </w:pPr>
      <w:r>
        <w:t>Only then evaluate any economic simulation.</w:t>
      </w:r>
    </w:p>
    <w:p>
      <w:pPr>
        <w:pStyle w:val="Heading1"/>
      </w:pPr>
      <w:r>
        <w:t>20. Empirical Results</w:t>
      </w:r>
    </w:p>
    <w:p>
      <w:pPr/>
      <w:r>
        <w:t>Data and protocol. 20 real instruments (15 FX pairs, gold, silver, BTC, ETH, SOL) and, as a negative control, four exact random walks (Deriv Volatility indices, whose generators are published and verified). About 50,000 bars per series at each base interval: a 15-minute base with 1-hour and 4-hour context, and a 1-hour base with 4-hour and daily context; about 590,000 evaluation moments per base. Horizon H = 16 bars. Every model, memory and threshold is fitted on each series' first 60% by time and scored once on the last 40%, which is never used for selection; where a choice had to be made on test data (memory half-life), it was made on the first half of the test period and reported on the second. Historical twins are never taken from the same series within H bars of the query, so no analogue's future overlaps the query's. A zone is reached when a bar's wick touches it within H bars. Trading simulations are secondary evidence: non-overlapping, net of the venue's spread, both halves of the test period reported, and compared with a null that shifts every series' positions by one common offset.</w:t>
      </w:r>
    </w:p>
    <w:p>
      <w:pPr/>
      <w:r>
        <w:rPr>
          <w:b/>
        </w:rPr>
        <w:t>20.1 The three-model decomposition</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Model</w:t>
            </w:r>
          </w:p>
        </w:tc>
        <w:tc>
          <w:tcPr>
            <w:tcW w:type="dxa" w:w="1399"/>
          </w:tcPr>
          <w:p>
            <w:r>
              <w:rPr>
                <w:b/>
                <w:sz w:val="18"/>
              </w:rPr>
              <w:t>15m log loss</w:t>
            </w:r>
          </w:p>
        </w:tc>
        <w:tc>
          <w:tcPr>
            <w:tcW w:type="dxa" w:w="1399"/>
          </w:tcPr>
          <w:p>
            <w:r>
              <w:rPr>
                <w:b/>
                <w:sz w:val="18"/>
              </w:rPr>
              <w:t>15m Brier</w:t>
            </w:r>
          </w:p>
        </w:tc>
        <w:tc>
          <w:tcPr>
            <w:tcW w:type="dxa" w:w="1399"/>
          </w:tcPr>
          <w:p>
            <w:r>
              <w:rPr>
                <w:b/>
                <w:sz w:val="18"/>
              </w:rPr>
              <w:t>15m AUC</w:t>
            </w:r>
          </w:p>
        </w:tc>
        <w:tc>
          <w:tcPr>
            <w:tcW w:type="dxa" w:w="1399"/>
          </w:tcPr>
          <w:p>
            <w:r>
              <w:rPr>
                <w:b/>
                <w:sz w:val="18"/>
              </w:rPr>
              <w:t>1h log loss</w:t>
            </w:r>
          </w:p>
        </w:tc>
        <w:tc>
          <w:tcPr>
            <w:tcW w:type="dxa" w:w="1399"/>
          </w:tcPr>
          <w:p>
            <w:r>
              <w:rPr>
                <w:b/>
                <w:sz w:val="18"/>
              </w:rPr>
              <w:t>1h Brier</w:t>
            </w:r>
          </w:p>
        </w:tc>
        <w:tc>
          <w:tcPr>
            <w:tcW w:type="dxa" w:w="1399"/>
          </w:tcPr>
          <w:p>
            <w:r>
              <w:rPr>
                <w:b/>
                <w:sz w:val="18"/>
              </w:rPr>
              <w:t>1h AUC</w:t>
            </w:r>
          </w:p>
        </w:tc>
      </w:tr>
      <w:tr>
        <w:tc>
          <w:tcPr>
            <w:tcW w:type="dxa" w:w="1399"/>
          </w:tcPr>
          <w:p>
            <w:r>
              <w:rPr>
                <w:b w:val="0"/>
                <w:sz w:val="18"/>
              </w:rPr>
              <w:t>M0 baseline: first-passage formula, no fit</w:t>
            </w:r>
          </w:p>
        </w:tc>
        <w:tc>
          <w:tcPr>
            <w:tcW w:type="dxa" w:w="1399"/>
          </w:tcPr>
          <w:p>
            <w:r>
              <w:rPr>
                <w:b w:val="0"/>
                <w:sz w:val="18"/>
              </w:rPr>
              <w:t>0.5794</w:t>
            </w:r>
          </w:p>
        </w:tc>
        <w:tc>
          <w:tcPr>
            <w:tcW w:type="dxa" w:w="1399"/>
          </w:tcPr>
          <w:p>
            <w:r>
              <w:rPr>
                <w:b w:val="0"/>
                <w:sz w:val="18"/>
              </w:rPr>
              <w:t>0.1979</w:t>
            </w:r>
          </w:p>
        </w:tc>
        <w:tc>
          <w:tcPr>
            <w:tcW w:type="dxa" w:w="1399"/>
          </w:tcPr>
          <w:p>
            <w:r>
              <w:rPr>
                <w:b w:val="0"/>
                <w:sz w:val="18"/>
              </w:rPr>
              <w:t>0.790</w:t>
            </w:r>
          </w:p>
        </w:tc>
        <w:tc>
          <w:tcPr>
            <w:tcW w:type="dxa" w:w="1399"/>
          </w:tcPr>
          <w:p>
            <w:r>
              <w:rPr>
                <w:b w:val="0"/>
                <w:sz w:val="18"/>
              </w:rPr>
              <w:t>0.5634</w:t>
            </w:r>
          </w:p>
        </w:tc>
        <w:tc>
          <w:tcPr>
            <w:tcW w:type="dxa" w:w="1399"/>
          </w:tcPr>
          <w:p>
            <w:r>
              <w:rPr>
                <w:b w:val="0"/>
                <w:sz w:val="18"/>
              </w:rPr>
              <w:t>0.1913</w:t>
            </w:r>
          </w:p>
        </w:tc>
        <w:tc>
          <w:tcPr>
            <w:tcW w:type="dxa" w:w="1399"/>
          </w:tcPr>
          <w:p>
            <w:r>
              <w:rPr>
                <w:b w:val="0"/>
                <w:sz w:val="18"/>
              </w:rPr>
              <w:t>0.798</w:t>
            </w:r>
          </w:p>
        </w:tc>
      </w:tr>
      <w:tr>
        <w:tc>
          <w:tcPr>
            <w:tcW w:type="dxa" w:w="1399"/>
          </w:tcPr>
          <w:p>
            <w:r>
              <w:rPr>
                <w:b w:val="0"/>
                <w:sz w:val="18"/>
              </w:rPr>
              <w:t>M1 state only (gradient boosting)</w:t>
            </w:r>
          </w:p>
        </w:tc>
        <w:tc>
          <w:tcPr>
            <w:tcW w:type="dxa" w:w="1399"/>
          </w:tcPr>
          <w:p>
            <w:r>
              <w:rPr>
                <w:b w:val="0"/>
                <w:sz w:val="18"/>
              </w:rPr>
              <w:t>0.5301</w:t>
            </w:r>
          </w:p>
        </w:tc>
        <w:tc>
          <w:tcPr>
            <w:tcW w:type="dxa" w:w="1399"/>
          </w:tcPr>
          <w:p>
            <w:r>
              <w:rPr>
                <w:b w:val="0"/>
                <w:sz w:val="18"/>
              </w:rPr>
              <w:t>0.1777</w:t>
            </w:r>
          </w:p>
        </w:tc>
        <w:tc>
          <w:tcPr>
            <w:tcW w:type="dxa" w:w="1399"/>
          </w:tcPr>
          <w:p>
            <w:r>
              <w:rPr>
                <w:b w:val="0"/>
                <w:sz w:val="18"/>
              </w:rPr>
              <w:t>0.807</w:t>
            </w:r>
          </w:p>
        </w:tc>
        <w:tc>
          <w:tcPr>
            <w:tcW w:type="dxa" w:w="1399"/>
          </w:tcPr>
          <w:p>
            <w:r>
              <w:rPr>
                <w:b w:val="0"/>
                <w:sz w:val="18"/>
              </w:rPr>
              <w:t>0.5351</w:t>
            </w:r>
          </w:p>
        </w:tc>
        <w:tc>
          <w:tcPr>
            <w:tcW w:type="dxa" w:w="1399"/>
          </w:tcPr>
          <w:p>
            <w:r>
              <w:rPr>
                <w:b w:val="0"/>
                <w:sz w:val="18"/>
              </w:rPr>
              <w:t>0.1796</w:t>
            </w:r>
          </w:p>
        </w:tc>
        <w:tc>
          <w:tcPr>
            <w:tcW w:type="dxa" w:w="1399"/>
          </w:tcPr>
          <w:p>
            <w:r>
              <w:rPr>
                <w:b w:val="0"/>
                <w:sz w:val="18"/>
              </w:rPr>
              <w:t>0.805</w:t>
            </w:r>
          </w:p>
        </w:tc>
      </w:tr>
      <w:tr>
        <w:tc>
          <w:tcPr>
            <w:tcW w:type="dxa" w:w="1399"/>
          </w:tcPr>
          <w:p>
            <w:r>
              <w:rPr>
                <w:b w:val="0"/>
                <w:sz w:val="18"/>
              </w:rPr>
              <w:t>M2 memory only (50 fractal twins)</w:t>
            </w:r>
          </w:p>
        </w:tc>
        <w:tc>
          <w:tcPr>
            <w:tcW w:type="dxa" w:w="1399"/>
          </w:tcPr>
          <w:p>
            <w:r>
              <w:rPr>
                <w:b w:val="0"/>
                <w:sz w:val="18"/>
              </w:rPr>
              <w:t>0.5479</w:t>
            </w:r>
          </w:p>
        </w:tc>
        <w:tc>
          <w:tcPr>
            <w:tcW w:type="dxa" w:w="1399"/>
          </w:tcPr>
          <w:p>
            <w:r>
              <w:rPr>
                <w:b w:val="0"/>
                <w:sz w:val="18"/>
              </w:rPr>
              <w:t>0.1840</w:t>
            </w:r>
          </w:p>
        </w:tc>
        <w:tc>
          <w:tcPr>
            <w:tcW w:type="dxa" w:w="1399"/>
          </w:tcPr>
          <w:p>
            <w:r>
              <w:rPr>
                <w:b w:val="0"/>
                <w:sz w:val="18"/>
              </w:rPr>
              <w:t>0.794</w:t>
            </w:r>
          </w:p>
        </w:tc>
        <w:tc>
          <w:tcPr>
            <w:tcW w:type="dxa" w:w="1399"/>
          </w:tcPr>
          <w:p>
            <w:r>
              <w:rPr>
                <w:b w:val="0"/>
                <w:sz w:val="18"/>
              </w:rPr>
              <w:t>0.5469</w:t>
            </w:r>
          </w:p>
        </w:tc>
        <w:tc>
          <w:tcPr>
            <w:tcW w:type="dxa" w:w="1399"/>
          </w:tcPr>
          <w:p>
            <w:r>
              <w:rPr>
                <w:b w:val="0"/>
                <w:sz w:val="18"/>
              </w:rPr>
              <w:t>0.1839</w:t>
            </w:r>
          </w:p>
        </w:tc>
        <w:tc>
          <w:tcPr>
            <w:tcW w:type="dxa" w:w="1399"/>
          </w:tcPr>
          <w:p>
            <w:r>
              <w:rPr>
                <w:b w:val="0"/>
                <w:sz w:val="18"/>
              </w:rPr>
              <w:t>0.796</w:t>
            </w:r>
          </w:p>
        </w:tc>
      </w:tr>
      <w:tr>
        <w:tc>
          <w:tcPr>
            <w:tcW w:type="dxa" w:w="1399"/>
          </w:tcPr>
          <w:p>
            <w:r>
              <w:rPr>
                <w:b w:val="0"/>
                <w:sz w:val="18"/>
              </w:rPr>
              <w:t>M3 combined</w:t>
            </w:r>
          </w:p>
        </w:tc>
        <w:tc>
          <w:tcPr>
            <w:tcW w:type="dxa" w:w="1399"/>
          </w:tcPr>
          <w:p>
            <w:r>
              <w:rPr>
                <w:b w:val="0"/>
                <w:sz w:val="18"/>
              </w:rPr>
              <w:t>0.5436</w:t>
            </w:r>
          </w:p>
        </w:tc>
        <w:tc>
          <w:tcPr>
            <w:tcW w:type="dxa" w:w="1399"/>
          </w:tcPr>
          <w:p>
            <w:r>
              <w:rPr>
                <w:b w:val="0"/>
                <w:sz w:val="18"/>
              </w:rPr>
              <w:t>0.1827</w:t>
            </w:r>
          </w:p>
        </w:tc>
        <w:tc>
          <w:tcPr>
            <w:tcW w:type="dxa" w:w="1399"/>
          </w:tcPr>
          <w:p>
            <w:r>
              <w:rPr>
                <w:b w:val="0"/>
                <w:sz w:val="18"/>
              </w:rPr>
              <w:t>0.797</w:t>
            </w:r>
          </w:p>
        </w:tc>
        <w:tc>
          <w:tcPr>
            <w:tcW w:type="dxa" w:w="1399"/>
          </w:tcPr>
          <w:p>
            <w:r>
              <w:rPr>
                <w:b w:val="0"/>
                <w:sz w:val="18"/>
              </w:rPr>
              <w:t>0.5466</w:t>
            </w:r>
          </w:p>
        </w:tc>
        <w:tc>
          <w:tcPr>
            <w:tcW w:type="dxa" w:w="1399"/>
          </w:tcPr>
          <w:p>
            <w:r>
              <w:rPr>
                <w:b w:val="0"/>
                <w:sz w:val="18"/>
              </w:rPr>
              <w:t>0.1840</w:t>
            </w:r>
          </w:p>
        </w:tc>
        <w:tc>
          <w:tcPr>
            <w:tcW w:type="dxa" w:w="1399"/>
          </w:tcPr>
          <w:p>
            <w:r>
              <w:rPr>
                <w:b w:val="0"/>
                <w:sz w:val="18"/>
              </w:rPr>
              <w:t>0.796</w:t>
            </w:r>
          </w:p>
        </w:tc>
      </w:tr>
      <w:tr>
        <w:tc>
          <w:tcPr>
            <w:tcW w:type="dxa" w:w="1399"/>
          </w:tcPr>
          <w:p>
            <w:r>
              <w:rPr>
                <w:b w:val="0"/>
                <w:sz w:val="18"/>
              </w:rPr>
              <w:t>Random-walk control: M0 / M1 / M2 / M3 log loss</w:t>
            </w:r>
          </w:p>
        </w:tc>
        <w:tc>
          <w:tcPr>
            <w:tcW w:type="dxa" w:w="1399"/>
          </w:tcPr>
          <w:p>
            <w:r>
              <w:rPr>
                <w:b w:val="0"/>
                <w:sz w:val="18"/>
              </w:rPr>
              <w:t>0.5462 / 0.5328 / 0.5374 / 0.5400</w:t>
            </w:r>
          </w:p>
        </w:tc>
        <w:tc>
          <w:tcPr>
            <w:tcW w:type="dxa" w:w="1399"/>
          </w:tcPr>
          <w:p>
            <w:r>
              <w:rPr>
                <w:b w:val="0"/>
                <w:sz w:val="18"/>
              </w:rPr>
            </w:r>
          </w:p>
        </w:tc>
        <w:tc>
          <w:tcPr>
            <w:tcW w:type="dxa" w:w="1399"/>
          </w:tcPr>
          <w:p>
            <w:r>
              <w:rPr>
                <w:b w:val="0"/>
                <w:sz w:val="18"/>
              </w:rPr>
            </w:r>
          </w:p>
        </w:tc>
        <w:tc>
          <w:tcPr>
            <w:tcW w:type="dxa" w:w="1399"/>
          </w:tcPr>
          <w:p>
            <w:r>
              <w:rPr>
                <w:b w:val="0"/>
                <w:sz w:val="18"/>
              </w:rPr>
              <w:t>0.5457 / 0.5292 / 0.5373 / 0.5375</w:t>
            </w:r>
          </w:p>
        </w:tc>
        <w:tc>
          <w:tcPr>
            <w:tcW w:type="dxa" w:w="1399"/>
          </w:tcPr>
          <w:p>
            <w:r>
              <w:rPr>
                <w:b w:val="0"/>
                <w:sz w:val="18"/>
              </w:rPr>
            </w:r>
          </w:p>
        </w:tc>
        <w:tc>
          <w:tcPr>
            <w:tcW w:type="dxa" w:w="1399"/>
          </w:tcPr>
          <w:p>
            <w:r>
              <w:rPr>
                <w:b w:val="0"/>
                <w:sz w:val="18"/>
              </w:rPr>
            </w:r>
          </w:p>
        </w:tc>
      </w:tr>
    </w:tbl>
    <w:p>
      <w:pPr/>
      <w:r>
        <w:t>Table R1. P(zone reached within 16 bars), test block, real markets. Zones are a grid at ±1, 2, 3, 4, 6 and 8 baseline moves plus the nearest untaken 50-bar swing high and low.</w:t>
      </w:r>
    </w:p>
    <w:p>
      <w:pPr/>
      <w:r>
        <w:t>State alone (M1) is the best model at both intervals. Memory alone (M2) captures about 60% of M1's improvement over the baseline (0.032 of log loss at 15m, 0.017 at 1h). The combination (M3) is worse than M1 by 0.014 (15m) and 0.012 (1h): the twins' hit share restates distance and volatility with noise, and the model gives it weight it does not earn out of sample.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Top bin (predicted ≥ 0.95)</w:t>
            </w:r>
          </w:p>
        </w:tc>
        <w:tc>
          <w:tcPr>
            <w:tcW w:type="dxa" w:w="3264"/>
          </w:tcPr>
          <w:p>
            <w:r>
              <w:rPr>
                <w:b/>
                <w:sz w:val="18"/>
              </w:rPr>
              <w:t>15m predicted / realised (n)</w:t>
            </w:r>
          </w:p>
        </w:tc>
        <w:tc>
          <w:tcPr>
            <w:tcW w:type="dxa" w:w="3264"/>
          </w:tcPr>
          <w:p>
            <w:r>
              <w:rPr>
                <w:b/>
                <w:sz w:val="18"/>
              </w:rPr>
              <w:t>1h predicted / realised (n)</w:t>
            </w:r>
          </w:p>
        </w:tc>
      </w:tr>
      <w:tr>
        <w:tc>
          <w:tcPr>
            <w:tcW w:type="dxa" w:w="3264"/>
          </w:tcPr>
          <w:p>
            <w:r>
              <w:rPr>
                <w:b w:val="0"/>
                <w:sz w:val="18"/>
              </w:rPr>
              <w:t>M1</w:t>
            </w:r>
          </w:p>
        </w:tc>
        <w:tc>
          <w:tcPr>
            <w:tcW w:type="dxa" w:w="3264"/>
          </w:tcPr>
          <w:p>
            <w:r>
              <w:rPr>
                <w:b w:val="0"/>
                <w:sz w:val="18"/>
              </w:rPr>
              <w:t>0.975 / 0.973 (7,865)</w:t>
            </w:r>
          </w:p>
        </w:tc>
        <w:tc>
          <w:tcPr>
            <w:tcW w:type="dxa" w:w="3264"/>
          </w:tcPr>
          <w:p>
            <w:r>
              <w:rPr>
                <w:b w:val="0"/>
                <w:sz w:val="18"/>
              </w:rPr>
              <w:t>0.977 / 0.978 (8,825)</w:t>
            </w:r>
          </w:p>
        </w:tc>
      </w:tr>
      <w:tr>
        <w:tc>
          <w:tcPr>
            <w:tcW w:type="dxa" w:w="3264"/>
          </w:tcPr>
          <w:p>
            <w:r>
              <w:rPr>
                <w:b w:val="0"/>
                <w:sz w:val="18"/>
              </w:rPr>
              <w:t>M3</w:t>
            </w:r>
          </w:p>
        </w:tc>
        <w:tc>
          <w:tcPr>
            <w:tcW w:type="dxa" w:w="3264"/>
          </w:tcPr>
          <w:p>
            <w:r>
              <w:rPr>
                <w:b w:val="0"/>
                <w:sz w:val="18"/>
              </w:rPr>
              <w:t>0.976 / 0.964 (8,950)</w:t>
            </w:r>
          </w:p>
        </w:tc>
        <w:tc>
          <w:tcPr>
            <w:tcW w:type="dxa" w:w="3264"/>
          </w:tcPr>
          <w:p>
            <w:r>
              <w:rPr>
                <w:b w:val="0"/>
                <w:sz w:val="18"/>
              </w:rPr>
              <w:t>0.977 / 0.973 (9,267)</w:t>
            </w:r>
          </w:p>
        </w:tc>
      </w:tr>
    </w:tbl>
    <w:p>
      <w:pPr/>
      <w:r>
        <w:t>Table R2. Calibration in the highest-confidence bin.</w:t>
      </w:r>
    </w:p>
    <w:p>
      <w:pPr/>
      <w:r>
        <w:rPr>
          <w:b/>
        </w:rPr>
        <w:t>20.2 Ablation</w:t>
      </w:r>
    </w:p>
    <w:p>
      <w:pPr>
        <w:pStyle w:val="ListBullet"/>
      </w:pPr>
      <w:r>
        <w:t>A6 (memory removed) is M1 against M3: removing memory improves log loss at both intervals.</w:t>
      </w:r>
    </w:p>
    <w:p>
      <w:pPr>
        <w:pStyle w:val="ListBullet"/>
      </w:pPr>
      <w:r>
        <w:t>A3 (distance removed): in an earlier study on the same zone definition, distance's permutation importance was an AUC drop of 0.36-0.38; every other input's, including movement intensity, efficiency and zone size, was 0.007 or less.</w:t>
      </w:r>
    </w:p>
    <w:p>
      <w:pPr>
        <w:pStyle w:val="ListBullet"/>
      </w:pPr>
      <w:r>
        <w:t>A1, A2, A4, A5 and A7 were not run individually in this program.</w:t>
      </w:r>
    </w:p>
    <w:p>
      <w:pPr/>
      <w:r>
        <w:rPr>
          <w:b/>
        </w:rPr>
        <w:t>20.3 Falsification</w:t>
      </w:r>
    </w:p>
    <w:p>
      <w:pPr/>
      <w:r>
        <w:t>Section 16 states that the framework is unsupported if the combined model fails to beat appropriate baselines on untouched data. M3 beats the parameter-free baseline M0 but not the state-only model M1, at either interval. Under the paper's own criterion, the combination of state and memory is not supported; the state component is. Only one configuration of each model was run on the test block.</w:t>
      </w:r>
    </w:p>
    <w:p>
      <w:pPr/>
      <w:r>
        <w:rPr>
          <w:b/>
        </w:rPr>
        <w:t>20.4 Distribution rather than point prediction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Field used</w:t>
            </w:r>
          </w:p>
        </w:tc>
        <w:tc>
          <w:tcPr>
            <w:tcW w:type="dxa" w:w="2448"/>
          </w:tcPr>
          <w:p>
            <w:r>
              <w:rPr>
                <w:b/>
                <w:sz w:val="18"/>
              </w:rPr>
              <w:t>15m direction AUC (control)</w:t>
            </w:r>
          </w:p>
        </w:tc>
        <w:tc>
          <w:tcPr>
            <w:tcW w:type="dxa" w:w="2448"/>
          </w:tcPr>
          <w:p>
            <w:r>
              <w:rPr>
                <w:b/>
                <w:sz w:val="18"/>
              </w:rPr>
              <w:t>1h direction AUC (control)</w:t>
            </w:r>
          </w:p>
        </w:tc>
        <w:tc>
          <w:tcPr>
            <w:tcW w:type="dxa" w:w="2448"/>
          </w:tcPr>
          <w:p>
            <w:r>
              <w:rPr>
                <w:b/>
                <w:sz w:val="18"/>
              </w:rPr>
              <w:t>Traded, net per trade 15m / 1h</w:t>
            </w:r>
          </w:p>
        </w:tc>
      </w:tr>
      <w:tr>
        <w:tc>
          <w:tcPr>
            <w:tcW w:type="dxa" w:w="2448"/>
          </w:tcPr>
          <w:p>
            <w:r>
              <w:rPr>
                <w:b w:val="0"/>
                <w:sz w:val="18"/>
              </w:rPr>
              <w:t>M0 physics</w:t>
            </w:r>
          </w:p>
        </w:tc>
        <w:tc>
          <w:tcPr>
            <w:tcW w:type="dxa" w:w="2448"/>
          </w:tcPr>
          <w:p>
            <w:r>
              <w:rPr>
                <w:b w:val="0"/>
                <w:sz w:val="18"/>
              </w:rPr>
              <w:t>0.500 (0.500)</w:t>
            </w:r>
          </w:p>
        </w:tc>
        <w:tc>
          <w:tcPr>
            <w:tcW w:type="dxa" w:w="2448"/>
          </w:tcPr>
          <w:p>
            <w:r>
              <w:rPr>
                <w:b w:val="0"/>
                <w:sz w:val="18"/>
              </w:rPr>
              <w:t>0.500 (0.500)</w:t>
            </w:r>
          </w:p>
        </w:tc>
        <w:tc>
          <w:tcPr>
            <w:tcW w:type="dxa" w:w="2448"/>
          </w:tcPr>
          <w:p>
            <w:r>
              <w:rPr>
                <w:b w:val="0"/>
                <w:sz w:val="18"/>
              </w:rPr>
              <w:t>—</w:t>
            </w:r>
          </w:p>
        </w:tc>
      </w:tr>
      <w:tr>
        <w:tc>
          <w:tcPr>
            <w:tcW w:type="dxa" w:w="2448"/>
          </w:tcPr>
          <w:p>
            <w:r>
              <w:rPr>
                <w:b w:val="0"/>
                <w:sz w:val="18"/>
              </w:rPr>
              <w:t>M1 state</w:t>
            </w:r>
          </w:p>
        </w:tc>
        <w:tc>
          <w:tcPr>
            <w:tcW w:type="dxa" w:w="2448"/>
          </w:tcPr>
          <w:p>
            <w:r>
              <w:rPr>
                <w:b w:val="0"/>
                <w:sz w:val="18"/>
              </w:rPr>
              <w:t>0.530 (0.496)</w:t>
            </w:r>
          </w:p>
        </w:tc>
        <w:tc>
          <w:tcPr>
            <w:tcW w:type="dxa" w:w="2448"/>
          </w:tcPr>
          <w:p>
            <w:r>
              <w:rPr>
                <w:b w:val="0"/>
                <w:sz w:val="18"/>
              </w:rPr>
              <w:t>0.505 (0.494)</w:t>
            </w:r>
          </w:p>
        </w:tc>
        <w:tc>
          <w:tcPr>
            <w:tcW w:type="dxa" w:w="2448"/>
          </w:tcPr>
          <w:p>
            <w:r>
              <w:rPr>
                <w:b w:val="0"/>
                <w:sz w:val="18"/>
              </w:rPr>
              <w:t>-0.471 (z -1.2) / -0.102 (z +1.2)</w:t>
            </w:r>
          </w:p>
        </w:tc>
      </w:tr>
      <w:tr>
        <w:tc>
          <w:tcPr>
            <w:tcW w:type="dxa" w:w="2448"/>
          </w:tcPr>
          <w:p>
            <w:r>
              <w:rPr>
                <w:b w:val="0"/>
                <w:sz w:val="18"/>
              </w:rPr>
              <w:t>M2 memory</w:t>
            </w:r>
          </w:p>
        </w:tc>
        <w:tc>
          <w:tcPr>
            <w:tcW w:type="dxa" w:w="2448"/>
          </w:tcPr>
          <w:p>
            <w:r>
              <w:rPr>
                <w:b w:val="0"/>
                <w:sz w:val="18"/>
              </w:rPr>
              <w:t>0.504 (0.497)</w:t>
            </w:r>
          </w:p>
        </w:tc>
        <w:tc>
          <w:tcPr>
            <w:tcW w:type="dxa" w:w="2448"/>
          </w:tcPr>
          <w:p>
            <w:r>
              <w:rPr>
                <w:b w:val="0"/>
                <w:sz w:val="18"/>
              </w:rPr>
              <w:t>0.504 (0.500)</w:t>
            </w:r>
          </w:p>
        </w:tc>
        <w:tc>
          <w:tcPr>
            <w:tcW w:type="dxa" w:w="2448"/>
          </w:tcPr>
          <w:p>
            <w:r>
              <w:rPr>
                <w:b w:val="0"/>
                <w:sz w:val="18"/>
              </w:rPr>
              <w:t>—</w:t>
            </w:r>
          </w:p>
        </w:tc>
      </w:tr>
      <w:tr>
        <w:tc>
          <w:tcPr>
            <w:tcW w:type="dxa" w:w="2448"/>
          </w:tcPr>
          <w:p>
            <w:r>
              <w:rPr>
                <w:b w:val="0"/>
                <w:sz w:val="18"/>
              </w:rPr>
              <w:t>M3 combined</w:t>
            </w:r>
          </w:p>
        </w:tc>
        <w:tc>
          <w:tcPr>
            <w:tcW w:type="dxa" w:w="2448"/>
          </w:tcPr>
          <w:p>
            <w:r>
              <w:rPr>
                <w:b w:val="0"/>
                <w:sz w:val="18"/>
              </w:rPr>
              <w:t>0.510 (0.496)</w:t>
            </w:r>
          </w:p>
        </w:tc>
        <w:tc>
          <w:tcPr>
            <w:tcW w:type="dxa" w:w="2448"/>
          </w:tcPr>
          <w:p>
            <w:r>
              <w:rPr>
                <w:b w:val="0"/>
                <w:sz w:val="18"/>
              </w:rPr>
              <w:t>0.506 (0.499)</w:t>
            </w:r>
          </w:p>
        </w:tc>
        <w:tc>
          <w:tcPr>
            <w:tcW w:type="dxa" w:w="2448"/>
          </w:tcPr>
          <w:p>
            <w:r>
              <w:rPr>
                <w:b w:val="0"/>
                <w:sz w:val="18"/>
              </w:rPr>
              <w:t>-0.420 (z -0.3) / -0.128 (z +0.9)</w:t>
            </w:r>
          </w:p>
        </w:tc>
      </w:tr>
    </w:tbl>
    <w:p>
      <w:pPr/>
      <w:r>
        <w:t>Table R3. The probability field's skew (up-side minus down-side probability) as a direction signal. Net in baseline moves after spread; long above the training block's 80th percentile, short below its 20th.</w:t>
      </w:r>
    </w:p>
    <w:p>
      <w:pPr/>
      <w:r>
        <w:t>The field has an interior peak on 1.24% (15m) and 0.95% (1h) of moments; it is monotone in distance.</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sz w:val="18"/>
              </w:rPr>
              <w:t>Horizon</w:t>
            </w:r>
          </w:p>
        </w:tc>
        <w:tc>
          <w:tcPr>
            <w:tcW w:type="dxa" w:w="1632"/>
          </w:tcPr>
          <w:p>
            <w:r>
              <w:rPr>
                <w:b/>
                <w:sz w:val="18"/>
              </w:rPr>
              <w:t>Base rate</w:t>
            </w:r>
          </w:p>
        </w:tc>
        <w:tc>
          <w:tcPr>
            <w:tcW w:type="dxa" w:w="1632"/>
          </w:tcPr>
          <w:p>
            <w:r>
              <w:rPr>
                <w:b/>
                <w:sz w:val="18"/>
              </w:rPr>
              <w:t>Physics</w:t>
            </w:r>
          </w:p>
        </w:tc>
        <w:tc>
          <w:tcPr>
            <w:tcW w:type="dxa" w:w="1632"/>
          </w:tcPr>
          <w:p>
            <w:r>
              <w:rPr>
                <w:b/>
                <w:sz w:val="18"/>
              </w:rPr>
              <w:t>Twins' curve</w:t>
            </w:r>
          </w:p>
        </w:tc>
        <w:tc>
          <w:tcPr>
            <w:tcW w:type="dxa" w:w="1632"/>
          </w:tcPr>
          <w:p>
            <w:r>
              <w:rPr>
                <w:b/>
                <w:sz w:val="18"/>
              </w:rPr>
              <w:t>Direct model at t</w:t>
            </w:r>
          </w:p>
        </w:tc>
        <w:tc>
          <w:tcPr>
            <w:tcW w:type="dxa" w:w="1632"/>
          </w:tcPr>
          <w:p>
            <w:r>
              <w:rPr>
                <w:b/>
                <w:sz w:val="18"/>
              </w:rPr>
              <w:t>Hazard model</w:t>
            </w:r>
          </w:p>
        </w:tc>
      </w:tr>
      <w:tr>
        <w:tc>
          <w:tcPr>
            <w:tcW w:type="dxa" w:w="1632"/>
          </w:tcPr>
          <w:p>
            <w:r>
              <w:rPr>
                <w:b w:val="0"/>
                <w:sz w:val="18"/>
              </w:rPr>
              <w:t>4 bars, 15m</w:t>
            </w:r>
          </w:p>
        </w:tc>
        <w:tc>
          <w:tcPr>
            <w:tcW w:type="dxa" w:w="1632"/>
          </w:tcPr>
          <w:p>
            <w:r>
              <w:rPr>
                <w:b w:val="0"/>
                <w:sz w:val="18"/>
              </w:rPr>
              <w:t>22.8%</w:t>
            </w:r>
          </w:p>
        </w:tc>
        <w:tc>
          <w:tcPr>
            <w:tcW w:type="dxa" w:w="1632"/>
          </w:tcPr>
          <w:p>
            <w:r>
              <w:rPr>
                <w:b w:val="0"/>
                <w:sz w:val="18"/>
              </w:rPr>
              <w:t>0.4271</w:t>
            </w:r>
          </w:p>
        </w:tc>
        <w:tc>
          <w:tcPr>
            <w:tcW w:type="dxa" w:w="1632"/>
          </w:tcPr>
          <w:p>
            <w:r>
              <w:rPr>
                <w:b w:val="0"/>
                <w:sz w:val="18"/>
              </w:rPr>
              <w:t>0.3992</w:t>
            </w:r>
          </w:p>
        </w:tc>
        <w:tc>
          <w:tcPr>
            <w:tcW w:type="dxa" w:w="1632"/>
          </w:tcPr>
          <w:p>
            <w:r>
              <w:rPr>
                <w:b w:val="0"/>
                <w:sz w:val="18"/>
              </w:rPr>
              <w:t>0.3789</w:t>
            </w:r>
          </w:p>
        </w:tc>
        <w:tc>
          <w:tcPr>
            <w:tcW w:type="dxa" w:w="1632"/>
          </w:tcPr>
          <w:p>
            <w:r>
              <w:rPr>
                <w:b w:val="0"/>
                <w:sz w:val="18"/>
              </w:rPr>
              <w:t>0.3841</w:t>
            </w:r>
          </w:p>
        </w:tc>
      </w:tr>
      <w:tr>
        <w:tc>
          <w:tcPr>
            <w:tcW w:type="dxa" w:w="1632"/>
          </w:tcPr>
          <w:p>
            <w:r>
              <w:rPr>
                <w:b w:val="0"/>
                <w:sz w:val="18"/>
              </w:rPr>
              <w:t>8 bars, 15m</w:t>
            </w:r>
          </w:p>
        </w:tc>
        <w:tc>
          <w:tcPr>
            <w:tcW w:type="dxa" w:w="1632"/>
          </w:tcPr>
          <w:p>
            <w:r>
              <w:rPr>
                <w:b w:val="0"/>
                <w:sz w:val="18"/>
              </w:rPr>
              <w:t>32.6%</w:t>
            </w:r>
          </w:p>
        </w:tc>
        <w:tc>
          <w:tcPr>
            <w:tcW w:type="dxa" w:w="1632"/>
          </w:tcPr>
          <w:p>
            <w:r>
              <w:rPr>
                <w:b w:val="0"/>
                <w:sz w:val="18"/>
              </w:rPr>
              <w:t>0.5175</w:t>
            </w:r>
          </w:p>
        </w:tc>
        <w:tc>
          <w:tcPr>
            <w:tcW w:type="dxa" w:w="1632"/>
          </w:tcPr>
          <w:p>
            <w:r>
              <w:rPr>
                <w:b w:val="0"/>
                <w:sz w:val="18"/>
              </w:rPr>
              <w:t>0.4860</w:t>
            </w:r>
          </w:p>
        </w:tc>
        <w:tc>
          <w:tcPr>
            <w:tcW w:type="dxa" w:w="1632"/>
          </w:tcPr>
          <w:p>
            <w:r>
              <w:rPr>
                <w:b w:val="0"/>
                <w:sz w:val="18"/>
              </w:rPr>
              <w:t>0.4705</w:t>
            </w:r>
          </w:p>
        </w:tc>
        <w:tc>
          <w:tcPr>
            <w:tcW w:type="dxa" w:w="1632"/>
          </w:tcPr>
          <w:p>
            <w:r>
              <w:rPr>
                <w:b w:val="0"/>
                <w:sz w:val="18"/>
              </w:rPr>
              <w:t>0.4729</w:t>
            </w:r>
          </w:p>
        </w:tc>
      </w:tr>
      <w:tr>
        <w:tc>
          <w:tcPr>
            <w:tcW w:type="dxa" w:w="1632"/>
          </w:tcPr>
          <w:p>
            <w:r>
              <w:rPr>
                <w:b w:val="0"/>
                <w:sz w:val="18"/>
              </w:rPr>
              <w:t>16 bars, 15m</w:t>
            </w:r>
          </w:p>
        </w:tc>
        <w:tc>
          <w:tcPr>
            <w:tcW w:type="dxa" w:w="1632"/>
          </w:tcPr>
          <w:p>
            <w:r>
              <w:rPr>
                <w:b w:val="0"/>
                <w:sz w:val="18"/>
              </w:rPr>
              <w:t>44.2%</w:t>
            </w:r>
          </w:p>
        </w:tc>
        <w:tc>
          <w:tcPr>
            <w:tcW w:type="dxa" w:w="1632"/>
          </w:tcPr>
          <w:p>
            <w:r>
              <w:rPr>
                <w:b w:val="0"/>
                <w:sz w:val="18"/>
              </w:rPr>
              <w:t>0.5781</w:t>
            </w:r>
          </w:p>
        </w:tc>
        <w:tc>
          <w:tcPr>
            <w:tcW w:type="dxa" w:w="1632"/>
          </w:tcPr>
          <w:p>
            <w:r>
              <w:rPr>
                <w:b w:val="0"/>
                <w:sz w:val="18"/>
              </w:rPr>
              <w:t>0.5490</w:t>
            </w:r>
          </w:p>
        </w:tc>
        <w:tc>
          <w:tcPr>
            <w:tcW w:type="dxa" w:w="1632"/>
          </w:tcPr>
          <w:p>
            <w:r>
              <w:rPr>
                <w:b w:val="0"/>
                <w:sz w:val="18"/>
              </w:rPr>
              <w:t>0.5423</w:t>
            </w:r>
          </w:p>
        </w:tc>
        <w:tc>
          <w:tcPr>
            <w:tcW w:type="dxa" w:w="1632"/>
          </w:tcPr>
          <w:p>
            <w:r>
              <w:rPr>
                <w:b w:val="0"/>
                <w:sz w:val="18"/>
              </w:rPr>
              <w:t>0.5411</w:t>
            </w:r>
          </w:p>
        </w:tc>
      </w:tr>
      <w:tr>
        <w:tc>
          <w:tcPr>
            <w:tcW w:type="dxa" w:w="1632"/>
          </w:tcPr>
          <w:p>
            <w:r>
              <w:rPr>
                <w:b w:val="0"/>
                <w:sz w:val="18"/>
              </w:rPr>
              <w:t>4 bars, 1h</w:t>
            </w:r>
          </w:p>
        </w:tc>
        <w:tc>
          <w:tcPr>
            <w:tcW w:type="dxa" w:w="1632"/>
          </w:tcPr>
          <w:p>
            <w:r>
              <w:rPr>
                <w:b w:val="0"/>
                <w:sz w:val="18"/>
              </w:rPr>
              <w:t>23.8%</w:t>
            </w:r>
          </w:p>
        </w:tc>
        <w:tc>
          <w:tcPr>
            <w:tcW w:type="dxa" w:w="1632"/>
          </w:tcPr>
          <w:p>
            <w:r>
              <w:rPr>
                <w:b w:val="0"/>
                <w:sz w:val="18"/>
              </w:rPr>
              <w:t>0.4277</w:t>
            </w:r>
          </w:p>
        </w:tc>
        <w:tc>
          <w:tcPr>
            <w:tcW w:type="dxa" w:w="1632"/>
          </w:tcPr>
          <w:p>
            <w:r>
              <w:rPr>
                <w:b w:val="0"/>
                <w:sz w:val="18"/>
              </w:rPr>
              <w:t>0.4010</w:t>
            </w:r>
          </w:p>
        </w:tc>
        <w:tc>
          <w:tcPr>
            <w:tcW w:type="dxa" w:w="1632"/>
          </w:tcPr>
          <w:p>
            <w:r>
              <w:rPr>
                <w:b w:val="0"/>
                <w:sz w:val="18"/>
              </w:rPr>
              <w:t>0.3876</w:t>
            </w:r>
          </w:p>
        </w:tc>
        <w:tc>
          <w:tcPr>
            <w:tcW w:type="dxa" w:w="1632"/>
          </w:tcPr>
          <w:p>
            <w:r>
              <w:rPr>
                <w:b w:val="0"/>
                <w:sz w:val="18"/>
              </w:rPr>
              <w:t>0.3923</w:t>
            </w:r>
          </w:p>
        </w:tc>
      </w:tr>
      <w:tr>
        <w:tc>
          <w:tcPr>
            <w:tcW w:type="dxa" w:w="1632"/>
          </w:tcPr>
          <w:p>
            <w:r>
              <w:rPr>
                <w:b w:val="0"/>
                <w:sz w:val="18"/>
              </w:rPr>
              <w:t>8 bars, 1h</w:t>
            </w:r>
          </w:p>
        </w:tc>
        <w:tc>
          <w:tcPr>
            <w:tcW w:type="dxa" w:w="1632"/>
          </w:tcPr>
          <w:p>
            <w:r>
              <w:rPr>
                <w:b w:val="0"/>
                <w:sz w:val="18"/>
              </w:rPr>
              <w:t>34.2%</w:t>
            </w:r>
          </w:p>
        </w:tc>
        <w:tc>
          <w:tcPr>
            <w:tcW w:type="dxa" w:w="1632"/>
          </w:tcPr>
          <w:p>
            <w:r>
              <w:rPr>
                <w:b w:val="0"/>
                <w:sz w:val="18"/>
              </w:rPr>
              <w:t>0.5106</w:t>
            </w:r>
          </w:p>
        </w:tc>
        <w:tc>
          <w:tcPr>
            <w:tcW w:type="dxa" w:w="1632"/>
          </w:tcPr>
          <w:p>
            <w:r>
              <w:rPr>
                <w:b w:val="0"/>
                <w:sz w:val="18"/>
              </w:rPr>
              <w:t>0.4867</w:t>
            </w:r>
          </w:p>
        </w:tc>
        <w:tc>
          <w:tcPr>
            <w:tcW w:type="dxa" w:w="1632"/>
          </w:tcPr>
          <w:p>
            <w:r>
              <w:rPr>
                <w:b w:val="0"/>
                <w:sz w:val="18"/>
              </w:rPr>
              <w:t>0.4790</w:t>
            </w:r>
          </w:p>
        </w:tc>
        <w:tc>
          <w:tcPr>
            <w:tcW w:type="dxa" w:w="1632"/>
          </w:tcPr>
          <w:p>
            <w:r>
              <w:rPr>
                <w:b w:val="0"/>
                <w:sz w:val="18"/>
              </w:rPr>
              <w:t>0.4801</w:t>
            </w:r>
          </w:p>
        </w:tc>
      </w:tr>
      <w:tr>
        <w:tc>
          <w:tcPr>
            <w:tcW w:type="dxa" w:w="1632"/>
          </w:tcPr>
          <w:p>
            <w:r>
              <w:rPr>
                <w:b w:val="0"/>
                <w:sz w:val="18"/>
              </w:rPr>
              <w:t>16 bars, 1h</w:t>
            </w:r>
          </w:p>
        </w:tc>
        <w:tc>
          <w:tcPr>
            <w:tcW w:type="dxa" w:w="1632"/>
          </w:tcPr>
          <w:p>
            <w:r>
              <w:rPr>
                <w:b w:val="0"/>
                <w:sz w:val="18"/>
              </w:rPr>
              <w:t>46.3%</w:t>
            </w:r>
          </w:p>
        </w:tc>
        <w:tc>
          <w:tcPr>
            <w:tcW w:type="dxa" w:w="1632"/>
          </w:tcPr>
          <w:p>
            <w:r>
              <w:rPr>
                <w:b w:val="0"/>
                <w:sz w:val="18"/>
              </w:rPr>
              <w:t>0.5627</w:t>
            </w:r>
          </w:p>
        </w:tc>
        <w:tc>
          <w:tcPr>
            <w:tcW w:type="dxa" w:w="1632"/>
          </w:tcPr>
          <w:p>
            <w:r>
              <w:rPr>
                <w:b w:val="0"/>
                <w:sz w:val="18"/>
              </w:rPr>
              <w:t>0.5486</w:t>
            </w:r>
          </w:p>
        </w:tc>
        <w:tc>
          <w:tcPr>
            <w:tcW w:type="dxa" w:w="1632"/>
          </w:tcPr>
          <w:p>
            <w:r>
              <w:rPr>
                <w:b w:val="0"/>
                <w:sz w:val="18"/>
              </w:rPr>
              <w:t>0.5459</w:t>
            </w:r>
          </w:p>
        </w:tc>
        <w:tc>
          <w:tcPr>
            <w:tcW w:type="dxa" w:w="1632"/>
          </w:tcPr>
          <w:p>
            <w:r>
              <w:rPr>
                <w:b w:val="0"/>
                <w:sz w:val="18"/>
              </w:rPr>
              <w:t>0.5445</w:t>
            </w:r>
          </w:p>
        </w:tc>
      </w:tr>
    </w:tbl>
    <w:p>
      <w:pPr/>
      <w:r>
        <w:t>Table R4. Log loss of P(reached within t), real markets. The hazard model is one discrete-time model of P(first touch at bar t | not before); the direct models are one per horizon. Expected time to the zone (given it is reached) ranks realised time at Spearman +0.546 (15m) and +0.553 (1h); the twins' median time at +0.505 and +0.509; distance alone at +0.492 and +0.501.</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Measure</w:t>
            </w:r>
          </w:p>
        </w:tc>
        <w:tc>
          <w:tcPr>
            <w:tcW w:type="dxa" w:w="1399"/>
          </w:tcPr>
          <w:p>
            <w:r>
              <w:rPr>
                <w:b/>
                <w:sz w:val="18"/>
              </w:rPr>
              <w:t>15m: Spearman with |move|</w:t>
            </w:r>
          </w:p>
        </w:tc>
        <w:tc>
          <w:tcPr>
            <w:tcW w:type="dxa" w:w="1399"/>
          </w:tcPr>
          <w:p>
            <w:r>
              <w:rPr>
                <w:b/>
                <w:sz w:val="18"/>
              </w:rPr>
              <w:t>15m: beyond vol</w:t>
            </w:r>
          </w:p>
        </w:tc>
        <w:tc>
          <w:tcPr>
            <w:tcW w:type="dxa" w:w="1399"/>
          </w:tcPr>
          <w:p>
            <w:r>
              <w:rPr>
                <w:b/>
                <w:sz w:val="18"/>
              </w:rPr>
              <w:t>15m: up AUC</w:t>
            </w:r>
          </w:p>
        </w:tc>
        <w:tc>
          <w:tcPr>
            <w:tcW w:type="dxa" w:w="1399"/>
          </w:tcPr>
          <w:p>
            <w:r>
              <w:rPr>
                <w:b/>
                <w:sz w:val="18"/>
              </w:rPr>
              <w:t>1h: Spearman with |move|</w:t>
            </w:r>
          </w:p>
        </w:tc>
        <w:tc>
          <w:tcPr>
            <w:tcW w:type="dxa" w:w="1399"/>
          </w:tcPr>
          <w:p>
            <w:r>
              <w:rPr>
                <w:b/>
                <w:sz w:val="18"/>
              </w:rPr>
              <w:t>1h: beyond vol</w:t>
            </w:r>
          </w:p>
        </w:tc>
        <w:tc>
          <w:tcPr>
            <w:tcW w:type="dxa" w:w="1399"/>
          </w:tcPr>
          <w:p>
            <w:r>
              <w:rPr>
                <w:b/>
                <w:sz w:val="18"/>
              </w:rPr>
              <w:t>1h: up AUC</w:t>
            </w:r>
          </w:p>
        </w:tc>
      </w:tr>
      <w:tr>
        <w:tc>
          <w:tcPr>
            <w:tcW w:type="dxa" w:w="1399"/>
          </w:tcPr>
          <w:p>
            <w:r>
              <w:rPr>
                <w:b w:val="0"/>
                <w:sz w:val="18"/>
              </w:rPr>
              <w:t>Entropy H</w:t>
            </w:r>
          </w:p>
        </w:tc>
        <w:tc>
          <w:tcPr>
            <w:tcW w:type="dxa" w:w="1399"/>
          </w:tcPr>
          <w:p>
            <w:r>
              <w:rPr>
                <w:b w:val="0"/>
                <w:sz w:val="18"/>
              </w:rPr>
              <w:t>+0.222 (control +0.005)</w:t>
            </w:r>
          </w:p>
        </w:tc>
        <w:tc>
          <w:tcPr>
            <w:tcW w:type="dxa" w:w="1399"/>
          </w:tcPr>
          <w:p>
            <w:r>
              <w:rPr>
                <w:b w:val="0"/>
                <w:sz w:val="18"/>
              </w:rPr>
              <w:t>+0.137</w:t>
            </w:r>
          </w:p>
        </w:tc>
        <w:tc>
          <w:tcPr>
            <w:tcW w:type="dxa" w:w="1399"/>
          </w:tcPr>
          <w:p>
            <w:r>
              <w:rPr>
                <w:b w:val="0"/>
                <w:sz w:val="18"/>
              </w:rPr>
              <w:t>0.510</w:t>
            </w:r>
          </w:p>
        </w:tc>
        <w:tc>
          <w:tcPr>
            <w:tcW w:type="dxa" w:w="1399"/>
          </w:tcPr>
          <w:p>
            <w:r>
              <w:rPr>
                <w:b w:val="0"/>
                <w:sz w:val="18"/>
              </w:rPr>
              <w:t>+0.152 (control +0.007)</w:t>
            </w:r>
          </w:p>
        </w:tc>
        <w:tc>
          <w:tcPr>
            <w:tcW w:type="dxa" w:w="1399"/>
          </w:tcPr>
          <w:p>
            <w:r>
              <w:rPr>
                <w:b w:val="0"/>
                <w:sz w:val="18"/>
              </w:rPr>
              <w:t>+0.033</w:t>
            </w:r>
          </w:p>
        </w:tc>
        <w:tc>
          <w:tcPr>
            <w:tcW w:type="dxa" w:w="1399"/>
          </w:tcPr>
          <w:p>
            <w:r>
              <w:rPr>
                <w:b w:val="0"/>
                <w:sz w:val="18"/>
              </w:rPr>
              <w:t>0.500</w:t>
            </w:r>
          </w:p>
        </w:tc>
      </w:tr>
      <w:tr>
        <w:tc>
          <w:tcPr>
            <w:tcW w:type="dxa" w:w="1399"/>
          </w:tcPr>
          <w:p>
            <w:r>
              <w:rPr>
                <w:b w:val="0"/>
                <w:sz w:val="18"/>
              </w:rPr>
              <w:t>Change dH</w:t>
            </w:r>
          </w:p>
        </w:tc>
        <w:tc>
          <w:tcPr>
            <w:tcW w:type="dxa" w:w="1399"/>
          </w:tcPr>
          <w:p>
            <w:r>
              <w:rPr>
                <w:b w:val="0"/>
                <w:sz w:val="18"/>
              </w:rPr>
              <w:t>+0.044</w:t>
            </w:r>
          </w:p>
        </w:tc>
        <w:tc>
          <w:tcPr>
            <w:tcW w:type="dxa" w:w="1399"/>
          </w:tcPr>
          <w:p>
            <w:r>
              <w:rPr>
                <w:b w:val="0"/>
                <w:sz w:val="18"/>
              </w:rPr>
              <w:t>+0.058</w:t>
            </w:r>
          </w:p>
        </w:tc>
        <w:tc>
          <w:tcPr>
            <w:tcW w:type="dxa" w:w="1399"/>
          </w:tcPr>
          <w:p>
            <w:r>
              <w:rPr>
                <w:b w:val="0"/>
                <w:sz w:val="18"/>
              </w:rPr>
              <w:t>0.508</w:t>
            </w:r>
          </w:p>
        </w:tc>
        <w:tc>
          <w:tcPr>
            <w:tcW w:type="dxa" w:w="1399"/>
          </w:tcPr>
          <w:p>
            <w:r>
              <w:rPr>
                <w:b w:val="0"/>
                <w:sz w:val="18"/>
              </w:rPr>
              <w:t>+0.052</w:t>
            </w:r>
          </w:p>
        </w:tc>
        <w:tc>
          <w:tcPr>
            <w:tcW w:type="dxa" w:w="1399"/>
          </w:tcPr>
          <w:p>
            <w:r>
              <w:rPr>
                <w:b w:val="0"/>
                <w:sz w:val="18"/>
              </w:rPr>
              <w:t>+0.052</w:t>
            </w:r>
          </w:p>
        </w:tc>
        <w:tc>
          <w:tcPr>
            <w:tcW w:type="dxa" w:w="1399"/>
          </w:tcPr>
          <w:p>
            <w:r>
              <w:rPr>
                <w:b w:val="0"/>
                <w:sz w:val="18"/>
              </w:rPr>
              <w:t>0.500</w:t>
            </w:r>
          </w:p>
        </w:tc>
      </w:tr>
      <w:tr>
        <w:tc>
          <w:tcPr>
            <w:tcW w:type="dxa" w:w="1399"/>
          </w:tcPr>
          <w:p>
            <w:r>
              <w:rPr>
                <w:b w:val="0"/>
                <w:sz w:val="18"/>
              </w:rPr>
              <w:t>Top-two ratio R</w:t>
            </w:r>
          </w:p>
        </w:tc>
        <w:tc>
          <w:tcPr>
            <w:tcW w:type="dxa" w:w="1399"/>
          </w:tcPr>
          <w:p>
            <w:r>
              <w:rPr>
                <w:b w:val="0"/>
                <w:sz w:val="18"/>
              </w:rPr>
              <w:t>-0.073</w:t>
            </w:r>
          </w:p>
        </w:tc>
        <w:tc>
          <w:tcPr>
            <w:tcW w:type="dxa" w:w="1399"/>
          </w:tcPr>
          <w:p>
            <w:r>
              <w:rPr>
                <w:b w:val="0"/>
                <w:sz w:val="18"/>
              </w:rPr>
              <w:t>-0.039</w:t>
            </w:r>
          </w:p>
        </w:tc>
        <w:tc>
          <w:tcPr>
            <w:tcW w:type="dxa" w:w="1399"/>
          </w:tcPr>
          <w:p>
            <w:r>
              <w:rPr>
                <w:b w:val="0"/>
                <w:sz w:val="18"/>
              </w:rPr>
              <w:t>0.497</w:t>
            </w:r>
          </w:p>
        </w:tc>
        <w:tc>
          <w:tcPr>
            <w:tcW w:type="dxa" w:w="1399"/>
          </w:tcPr>
          <w:p>
            <w:r>
              <w:rPr>
                <w:b w:val="0"/>
                <w:sz w:val="18"/>
              </w:rPr>
              <w:t>-0.052</w:t>
            </w:r>
          </w:p>
        </w:tc>
        <w:tc>
          <w:tcPr>
            <w:tcW w:type="dxa" w:w="1399"/>
          </w:tcPr>
          <w:p>
            <w:r>
              <w:rPr>
                <w:b w:val="0"/>
                <w:sz w:val="18"/>
              </w:rPr>
              <w:t>+0.002</w:t>
            </w:r>
          </w:p>
        </w:tc>
        <w:tc>
          <w:tcPr>
            <w:tcW w:type="dxa" w:w="1399"/>
          </w:tcPr>
          <w:p>
            <w:r>
              <w:rPr>
                <w:b w:val="0"/>
                <w:sz w:val="18"/>
              </w:rPr>
              <w:t>0.501</w:t>
            </w:r>
          </w:p>
        </w:tc>
      </w:tr>
      <w:tr>
        <w:tc>
          <w:tcPr>
            <w:tcW w:type="dxa" w:w="1399"/>
          </w:tcPr>
          <w:p>
            <w:r>
              <w:rPr>
                <w:b w:val="0"/>
                <w:sz w:val="18"/>
              </w:rPr>
              <w:t>Volatility ratio alone</w:t>
            </w:r>
          </w:p>
        </w:tc>
        <w:tc>
          <w:tcPr>
            <w:tcW w:type="dxa" w:w="1399"/>
          </w:tcPr>
          <w:p>
            <w:r>
              <w:rPr>
                <w:b w:val="0"/>
                <w:sz w:val="18"/>
              </w:rPr>
              <w:t>+0.107</w:t>
            </w:r>
          </w:p>
        </w:tc>
        <w:tc>
          <w:tcPr>
            <w:tcW w:type="dxa" w:w="1399"/>
          </w:tcPr>
          <w:p>
            <w:r>
              <w:rPr>
                <w:b w:val="0"/>
                <w:sz w:val="18"/>
              </w:rPr>
            </w:r>
          </w:p>
        </w:tc>
        <w:tc>
          <w:tcPr>
            <w:tcW w:type="dxa" w:w="1399"/>
          </w:tcPr>
          <w:p>
            <w:r>
              <w:rPr>
                <w:b w:val="0"/>
                <w:sz w:val="18"/>
              </w:rPr>
            </w:r>
          </w:p>
        </w:tc>
        <w:tc>
          <w:tcPr>
            <w:tcW w:type="dxa" w:w="1399"/>
          </w:tcPr>
          <w:p>
            <w:r>
              <w:rPr>
                <w:b w:val="0"/>
                <w:sz w:val="18"/>
              </w:rPr>
              <w:t>+0.128</w:t>
            </w:r>
          </w:p>
        </w:tc>
        <w:tc>
          <w:tcPr>
            <w:tcW w:type="dxa" w:w="1399"/>
          </w:tcPr>
          <w:p>
            <w:r>
              <w:rPr>
                <w:b w:val="0"/>
                <w:sz w:val="18"/>
              </w:rPr>
            </w:r>
          </w:p>
        </w:tc>
        <w:tc>
          <w:tcPr>
            <w:tcW w:type="dxa" w:w="1399"/>
          </w:tcPr>
          <w:p>
            <w:r>
              <w:rPr>
                <w:b w:val="0"/>
                <w:sz w:val="18"/>
              </w:rPr>
            </w:r>
          </w:p>
        </w:tc>
      </w:tr>
    </w:tbl>
    <w:p>
      <w:pPr/>
      <w:r>
        <w:t>Table R5. The 12 grid probabilities (M3) normalised into a distribution over destinations. 'Beyond vol' is the Spearman with the residual of |move| after a linear fit on the log volatility ratio.</w:t>
      </w:r>
    </w:p>
    <w:p>
      <w:pPr/>
      <w:r>
        <w:t>The entropy of the zone distribution is the strongest new variable in the program: a flat field precedes a large move, more strongly than the volatility ratio at 15m, and not at all on the random walks. It has no directional content.</w:t>
      </w:r>
    </w:p>
    <w:p>
      <w:pPr/>
      <w:r>
        <w:rPr>
          <w:b/>
        </w:rPr>
        <w:t>20.5 Memory and regimes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sz w:val="18"/>
              </w:rPr>
              <w:t>Half-life</w:t>
            </w:r>
          </w:p>
        </w:tc>
        <w:tc>
          <w:tcPr>
            <w:tcW w:type="dxa" w:w="1958"/>
          </w:tcPr>
          <w:p>
            <w:r>
              <w:rPr>
                <w:b/>
                <w:sz w:val="18"/>
              </w:rPr>
              <w:t>15m: size</w:t>
            </w:r>
          </w:p>
        </w:tc>
        <w:tc>
          <w:tcPr>
            <w:tcW w:type="dxa" w:w="1958"/>
          </w:tcPr>
          <w:p>
            <w:r>
              <w:rPr>
                <w:b/>
                <w:sz w:val="18"/>
              </w:rPr>
              <w:t>15m: direction AUC</w:t>
            </w:r>
          </w:p>
        </w:tc>
        <w:tc>
          <w:tcPr>
            <w:tcW w:type="dxa" w:w="1958"/>
          </w:tcPr>
          <w:p>
            <w:r>
              <w:rPr>
                <w:b/>
                <w:sz w:val="18"/>
              </w:rPr>
              <w:t>1h: size</w:t>
            </w:r>
          </w:p>
        </w:tc>
        <w:tc>
          <w:tcPr>
            <w:tcW w:type="dxa" w:w="1958"/>
          </w:tcPr>
          <w:p>
            <w:r>
              <w:rPr>
                <w:b/>
                <w:sz w:val="18"/>
              </w:rPr>
              <w:t>1h: direction AUC</w:t>
            </w:r>
          </w:p>
        </w:tc>
      </w:tr>
      <w:tr>
        <w:tc>
          <w:tcPr>
            <w:tcW w:type="dxa" w:w="1958"/>
          </w:tcPr>
          <w:p>
            <w:r>
              <w:rPr>
                <w:b w:val="0"/>
                <w:sz w:val="18"/>
              </w:rPr>
              <w:t>1 week</w:t>
            </w:r>
          </w:p>
        </w:tc>
        <w:tc>
          <w:tcPr>
            <w:tcW w:type="dxa" w:w="1958"/>
          </w:tcPr>
          <w:p>
            <w:r>
              <w:rPr>
                <w:b w:val="0"/>
                <w:sz w:val="18"/>
              </w:rPr>
              <w:t>+0.107</w:t>
            </w:r>
          </w:p>
        </w:tc>
        <w:tc>
          <w:tcPr>
            <w:tcW w:type="dxa" w:w="1958"/>
          </w:tcPr>
          <w:p>
            <w:r>
              <w:rPr>
                <w:b w:val="0"/>
                <w:sz w:val="18"/>
              </w:rPr>
              <w:t>0.502</w:t>
            </w:r>
          </w:p>
        </w:tc>
        <w:tc>
          <w:tcPr>
            <w:tcW w:type="dxa" w:w="1958"/>
          </w:tcPr>
          <w:p>
            <w:r>
              <w:rPr>
                <w:b w:val="0"/>
                <w:sz w:val="18"/>
              </w:rPr>
              <w:t>+0.031</w:t>
            </w:r>
          </w:p>
        </w:tc>
        <w:tc>
          <w:tcPr>
            <w:tcW w:type="dxa" w:w="1958"/>
          </w:tcPr>
          <w:p>
            <w:r>
              <w:rPr>
                <w:b w:val="0"/>
                <w:sz w:val="18"/>
              </w:rPr>
              <w:t>0.508</w:t>
            </w:r>
          </w:p>
        </w:tc>
      </w:tr>
      <w:tr>
        <w:tc>
          <w:tcPr>
            <w:tcW w:type="dxa" w:w="1958"/>
          </w:tcPr>
          <w:p>
            <w:r>
              <w:rPr>
                <w:b w:val="0"/>
                <w:sz w:val="18"/>
              </w:rPr>
              <w:t>1 month</w:t>
            </w:r>
          </w:p>
        </w:tc>
        <w:tc>
          <w:tcPr>
            <w:tcW w:type="dxa" w:w="1958"/>
          </w:tcPr>
          <w:p>
            <w:r>
              <w:rPr>
                <w:b w:val="0"/>
                <w:sz w:val="18"/>
              </w:rPr>
              <w:t>+0.171</w:t>
            </w:r>
          </w:p>
        </w:tc>
        <w:tc>
          <w:tcPr>
            <w:tcW w:type="dxa" w:w="1958"/>
          </w:tcPr>
          <w:p>
            <w:r>
              <w:rPr>
                <w:b w:val="0"/>
                <w:sz w:val="18"/>
              </w:rPr>
              <w:t>0.499</w:t>
            </w:r>
          </w:p>
        </w:tc>
        <w:tc>
          <w:tcPr>
            <w:tcW w:type="dxa" w:w="1958"/>
          </w:tcPr>
          <w:p>
            <w:r>
              <w:rPr>
                <w:b w:val="0"/>
                <w:sz w:val="18"/>
              </w:rPr>
              <w:t>+0.055</w:t>
            </w:r>
          </w:p>
        </w:tc>
        <w:tc>
          <w:tcPr>
            <w:tcW w:type="dxa" w:w="1958"/>
          </w:tcPr>
          <w:p>
            <w:r>
              <w:rPr>
                <w:b w:val="0"/>
                <w:sz w:val="18"/>
              </w:rPr>
              <w:t>0.508</w:t>
            </w:r>
          </w:p>
        </w:tc>
      </w:tr>
      <w:tr>
        <w:tc>
          <w:tcPr>
            <w:tcW w:type="dxa" w:w="1958"/>
          </w:tcPr>
          <w:p>
            <w:r>
              <w:rPr>
                <w:b w:val="0"/>
                <w:sz w:val="18"/>
              </w:rPr>
              <w:t>6 months</w:t>
            </w:r>
          </w:p>
        </w:tc>
        <w:tc>
          <w:tcPr>
            <w:tcW w:type="dxa" w:w="1958"/>
          </w:tcPr>
          <w:p>
            <w:r>
              <w:rPr>
                <w:b w:val="0"/>
                <w:sz w:val="18"/>
              </w:rPr>
              <w:t>+0.221</w:t>
            </w:r>
          </w:p>
        </w:tc>
        <w:tc>
          <w:tcPr>
            <w:tcW w:type="dxa" w:w="1958"/>
          </w:tcPr>
          <w:p>
            <w:r>
              <w:rPr>
                <w:b w:val="0"/>
                <w:sz w:val="18"/>
              </w:rPr>
              <w:t>0.502</w:t>
            </w:r>
          </w:p>
        </w:tc>
        <w:tc>
          <w:tcPr>
            <w:tcW w:type="dxa" w:w="1958"/>
          </w:tcPr>
          <w:p>
            <w:r>
              <w:rPr>
                <w:b w:val="0"/>
                <w:sz w:val="18"/>
              </w:rPr>
              <w:t>+0.110</w:t>
            </w:r>
          </w:p>
        </w:tc>
        <w:tc>
          <w:tcPr>
            <w:tcW w:type="dxa" w:w="1958"/>
          </w:tcPr>
          <w:p>
            <w:r>
              <w:rPr>
                <w:b w:val="0"/>
                <w:sz w:val="18"/>
              </w:rPr>
              <w:t>0.509</w:t>
            </w:r>
          </w:p>
        </w:tc>
      </w:tr>
      <w:tr>
        <w:tc>
          <w:tcPr>
            <w:tcW w:type="dxa" w:w="1958"/>
          </w:tcPr>
          <w:p>
            <w:r>
              <w:rPr>
                <w:b w:val="0"/>
                <w:sz w:val="18"/>
              </w:rPr>
              <w:t>2 years</w:t>
            </w:r>
          </w:p>
        </w:tc>
        <w:tc>
          <w:tcPr>
            <w:tcW w:type="dxa" w:w="1958"/>
          </w:tcPr>
          <w:p>
            <w:r>
              <w:rPr>
                <w:b w:val="0"/>
                <w:sz w:val="18"/>
              </w:rPr>
              <w:t>+0.228</w:t>
            </w:r>
          </w:p>
        </w:tc>
        <w:tc>
          <w:tcPr>
            <w:tcW w:type="dxa" w:w="1958"/>
          </w:tcPr>
          <w:p>
            <w:r>
              <w:rPr>
                <w:b w:val="0"/>
                <w:sz w:val="18"/>
              </w:rPr>
              <w:t>0.501</w:t>
            </w:r>
          </w:p>
        </w:tc>
        <w:tc>
          <w:tcPr>
            <w:tcW w:type="dxa" w:w="1958"/>
          </w:tcPr>
          <w:p>
            <w:r>
              <w:rPr>
                <w:b w:val="0"/>
                <w:sz w:val="18"/>
              </w:rPr>
              <w:t>+0.137</w:t>
            </w:r>
          </w:p>
        </w:tc>
        <w:tc>
          <w:tcPr>
            <w:tcW w:type="dxa" w:w="1958"/>
          </w:tcPr>
          <w:p>
            <w:r>
              <w:rPr>
                <w:b w:val="0"/>
                <w:sz w:val="18"/>
              </w:rPr>
              <w:t>0.509</w:t>
            </w:r>
          </w:p>
        </w:tc>
      </w:tr>
      <w:tr>
        <w:tc>
          <w:tcPr>
            <w:tcW w:type="dxa" w:w="1958"/>
          </w:tcPr>
          <w:p>
            <w:r>
              <w:rPr>
                <w:b w:val="0"/>
                <w:sz w:val="18"/>
              </w:rPr>
              <w:t>Infinite</w:t>
            </w:r>
          </w:p>
        </w:tc>
        <w:tc>
          <w:tcPr>
            <w:tcW w:type="dxa" w:w="1958"/>
          </w:tcPr>
          <w:p>
            <w:r>
              <w:rPr>
                <w:b w:val="0"/>
                <w:sz w:val="18"/>
              </w:rPr>
              <w:t>+0.229</w:t>
            </w:r>
          </w:p>
        </w:tc>
        <w:tc>
          <w:tcPr>
            <w:tcW w:type="dxa" w:w="1958"/>
          </w:tcPr>
          <w:p>
            <w:r>
              <w:rPr>
                <w:b w:val="0"/>
                <w:sz w:val="18"/>
              </w:rPr>
              <w:t>0.500</w:t>
            </w:r>
          </w:p>
        </w:tc>
        <w:tc>
          <w:tcPr>
            <w:tcW w:type="dxa" w:w="1958"/>
          </w:tcPr>
          <w:p>
            <w:r>
              <w:rPr>
                <w:b w:val="0"/>
                <w:sz w:val="18"/>
              </w:rPr>
              <w:t>+0.144</w:t>
            </w:r>
          </w:p>
        </w:tc>
        <w:tc>
          <w:tcPr>
            <w:tcW w:type="dxa" w:w="1958"/>
          </w:tcPr>
          <w:p>
            <w:r>
              <w:rPr>
                <w:b w:val="0"/>
                <w:sz w:val="18"/>
              </w:rPr>
              <w:t>0.506</w:t>
            </w:r>
          </w:p>
        </w:tc>
      </w:tr>
    </w:tbl>
    <w:p>
      <w:pPr/>
      <w:r>
        <w:t>Table R6. Memory decay. Twins from all history before the query (H-bar embargo), pooled across instruments; the 500 most similar re-weighted by recency. 'Size' is the Spearman of the twins' weighted |move| with the realised one. Second half of the test period; the infinite half-life was also the choice on the first half. Calm / volatile regimes, infinite half-life: +0.205 / +0.232 (15m), +0.105 / +0.128 (1h). Direction AUC lies in 0.499-0.516 in every cell of both halves and both regimes.</w:t>
      </w:r>
    </w:p>
    <w:p>
      <w:pPr/>
      <w:r>
        <w:rPr>
          <w:b/>
        </w:rPr>
        <w:t>20.6 The impossibility region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sz w:val="18"/>
              </w:rPr>
              <w:t>Estimator</w:t>
            </w:r>
          </w:p>
        </w:tc>
        <w:tc>
          <w:tcPr>
            <w:tcW w:type="dxa" w:w="1958"/>
          </w:tcPr>
          <w:p>
            <w:r>
              <w:rPr>
                <w:b/>
                <w:sz w:val="18"/>
              </w:rPr>
              <w:t>15m long</w:t>
            </w:r>
          </w:p>
        </w:tc>
        <w:tc>
          <w:tcPr>
            <w:tcW w:type="dxa" w:w="1958"/>
          </w:tcPr>
          <w:p>
            <w:r>
              <w:rPr>
                <w:b/>
                <w:sz w:val="18"/>
              </w:rPr>
              <w:t>15m short</w:t>
            </w:r>
          </w:p>
        </w:tc>
        <w:tc>
          <w:tcPr>
            <w:tcW w:type="dxa" w:w="1958"/>
          </w:tcPr>
          <w:p>
            <w:r>
              <w:rPr>
                <w:b/>
                <w:sz w:val="18"/>
              </w:rPr>
              <w:t>1h long</w:t>
            </w:r>
          </w:p>
        </w:tc>
        <w:tc>
          <w:tcPr>
            <w:tcW w:type="dxa" w:w="1958"/>
          </w:tcPr>
          <w:p>
            <w:r>
              <w:rPr>
                <w:b/>
                <w:sz w:val="18"/>
              </w:rPr>
              <w:t>1h short</w:t>
            </w:r>
          </w:p>
        </w:tc>
      </w:tr>
      <w:tr>
        <w:tc>
          <w:tcPr>
            <w:tcW w:type="dxa" w:w="1958"/>
          </w:tcPr>
          <w:p>
            <w:r>
              <w:rPr>
                <w:b w:val="0"/>
                <w:sz w:val="18"/>
              </w:rPr>
              <w:t>Twins, 95th percentile</w:t>
            </w:r>
          </w:p>
        </w:tc>
        <w:tc>
          <w:tcPr>
            <w:tcW w:type="dxa" w:w="1958"/>
          </w:tcPr>
          <w:p>
            <w:r>
              <w:rPr>
                <w:b w:val="0"/>
                <w:sz w:val="18"/>
              </w:rPr>
              <w:t>7.9%, 10.66</w:t>
            </w:r>
          </w:p>
        </w:tc>
        <w:tc>
          <w:tcPr>
            <w:tcW w:type="dxa" w:w="1958"/>
          </w:tcPr>
          <w:p>
            <w:r>
              <w:rPr>
                <w:b w:val="0"/>
                <w:sz w:val="18"/>
              </w:rPr>
              <w:t>7.3%, 10.01</w:t>
            </w:r>
          </w:p>
        </w:tc>
        <w:tc>
          <w:tcPr>
            <w:tcW w:type="dxa" w:w="1958"/>
          </w:tcPr>
          <w:p>
            <w:r>
              <w:rPr>
                <w:b w:val="0"/>
                <w:sz w:val="18"/>
              </w:rPr>
              <w:t>7.5%, 10.82</w:t>
            </w:r>
          </w:p>
        </w:tc>
        <w:tc>
          <w:tcPr>
            <w:tcW w:type="dxa" w:w="1958"/>
          </w:tcPr>
          <w:p>
            <w:r>
              <w:rPr>
                <w:b w:val="0"/>
                <w:sz w:val="18"/>
              </w:rPr>
              <w:t>6.9%, 10.44</w:t>
            </w:r>
          </w:p>
        </w:tc>
      </w:tr>
      <w:tr>
        <w:tc>
          <w:tcPr>
            <w:tcW w:type="dxa" w:w="1958"/>
          </w:tcPr>
          <w:p>
            <w:r>
              <w:rPr>
                <w:b w:val="0"/>
                <w:sz w:val="18"/>
              </w:rPr>
              <w:t>Gaussian from EWMA sigma</w:t>
            </w:r>
          </w:p>
        </w:tc>
        <w:tc>
          <w:tcPr>
            <w:tcW w:type="dxa" w:w="1958"/>
          </w:tcPr>
          <w:p>
            <w:r>
              <w:rPr>
                <w:b w:val="0"/>
                <w:sz w:val="18"/>
              </w:rPr>
              <w:t>4.5%, 13.04</w:t>
            </w:r>
          </w:p>
        </w:tc>
        <w:tc>
          <w:tcPr>
            <w:tcW w:type="dxa" w:w="1958"/>
          </w:tcPr>
          <w:p>
            <w:r>
              <w:rPr>
                <w:b w:val="0"/>
                <w:sz w:val="18"/>
              </w:rPr>
              <w:t>3.5%, 13.04</w:t>
            </w:r>
          </w:p>
        </w:tc>
        <w:tc>
          <w:tcPr>
            <w:tcW w:type="dxa" w:w="1958"/>
          </w:tcPr>
          <w:p>
            <w:r>
              <w:rPr>
                <w:b w:val="0"/>
                <w:sz w:val="18"/>
              </w:rPr>
              <w:t>4.1%, 13.08</w:t>
            </w:r>
          </w:p>
        </w:tc>
        <w:tc>
          <w:tcPr>
            <w:tcW w:type="dxa" w:w="1958"/>
          </w:tcPr>
          <w:p>
            <w:r>
              <w:rPr>
                <w:b w:val="0"/>
                <w:sz w:val="18"/>
              </w:rPr>
              <w:t>3.2%, 13.08</w:t>
            </w:r>
          </w:p>
        </w:tc>
      </w:tr>
      <w:tr>
        <w:tc>
          <w:tcPr>
            <w:tcW w:type="dxa" w:w="1958"/>
          </w:tcPr>
          <w:p>
            <w:r>
              <w:rPr>
                <w:b w:val="0"/>
                <w:sz w:val="18"/>
              </w:rPr>
              <w:t>Quantile gradient boosting</w:t>
            </w:r>
          </w:p>
        </w:tc>
        <w:tc>
          <w:tcPr>
            <w:tcW w:type="dxa" w:w="1958"/>
          </w:tcPr>
          <w:p>
            <w:r>
              <w:rPr>
                <w:b w:val="0"/>
                <w:sz w:val="18"/>
              </w:rPr>
              <w:t>6.1%, 11.43</w:t>
            </w:r>
          </w:p>
        </w:tc>
        <w:tc>
          <w:tcPr>
            <w:tcW w:type="dxa" w:w="1958"/>
          </w:tcPr>
          <w:p>
            <w:r>
              <w:rPr>
                <w:b w:val="0"/>
                <w:sz w:val="18"/>
              </w:rPr>
              <w:t>5.3%, 10.87</w:t>
            </w:r>
          </w:p>
        </w:tc>
        <w:tc>
          <w:tcPr>
            <w:tcW w:type="dxa" w:w="1958"/>
          </w:tcPr>
          <w:p>
            <w:r>
              <w:rPr>
                <w:b w:val="0"/>
                <w:sz w:val="18"/>
              </w:rPr>
              <w:t>6.2%, 11.11</w:t>
            </w:r>
          </w:p>
        </w:tc>
        <w:tc>
          <w:tcPr>
            <w:tcW w:type="dxa" w:w="1958"/>
          </w:tcPr>
          <w:p>
            <w:r>
              <w:rPr>
                <w:b w:val="0"/>
                <w:sz w:val="18"/>
              </w:rPr>
              <w:t>5.1%, 11.12</w:t>
            </w:r>
          </w:p>
        </w:tc>
      </w:tr>
    </w:tbl>
    <w:p>
      <w:pPr/>
      <w:r>
        <w:t>Table R7. The 95% boundary of adverse excursion over 16 bars: share of real outcomes beyond it (target 5%), median width in baseline moves. Used as a stop against a fixed stop of the same median width at equal money at risk, the quantile boundary is stopped slightly less often (e.g. 6.2% against 7.2%, 1h long) and earns the same mean R to within 0.001-0.004 in every cell.</w:t>
      </w:r>
    </w:p>
    <w:p>
      <w:pPr/>
      <w:r>
        <w:rPr>
          <w:b/>
        </w:rPr>
        <w:t>20.7 Direction and economics</w:t>
      </w:r>
    </w:p>
    <w:p>
      <w:pPr/>
      <w:r>
        <w:t>Direction. No construction of the field, the twins or the state variables forecasts direction usefully. The largest direction AUC in the program is 0.530 (the 15m state-model skew), which loses 0.47 of a baseline move per trade after spread. Separately, fourteen deep sequence architectures on the same windows (CNN, LSTM, stacked LSTM, GRU, vanilla RNN, bidirectional LSTM, transformer, TCN and six hybrids) score direction AUC 0.498-0.516 against the random walks' 0.492-0.511, and every one loses when traded.</w:t>
      </w:r>
    </w:p>
    <w:p>
      <w:pPr/>
      <w:r>
        <w:t>Because a target-and-stop trade can earn only the drift over its hold, a better zone probability, a better time to zone or a better-placed stop changes the win rate and not the expectancy. The economically usable output of the framework is volatility: when a move is likely to be large, which is suited to position sizing rather than to choosing a side.</w:t>
      </w:r>
    </w:p>
    <w:p>
      <w:pPr/>
      <w:r>
        <w:rPr>
          <w:b/>
        </w:rPr>
        <w:t>20.8 The market state manifold</w:t>
      </w:r>
    </w:p>
    <w:p>
      <w:pPr/>
      <w:r>
        <w:t>Do markets exhibit recurring regions in state space with distinguishable transition distributions? States (the 288-number fractal embedding) were clustered by k-means (K = 8, 32, 128) on 16 principal components of the real training states.</w:t>
      </w:r>
    </w:p>
    <w:p>
      <w:pPr>
        <w:pStyle w:val="ListBullet"/>
      </w:pPr>
      <w:r>
        <w:t>Structure: real states pack 3-14% tighter than a Gaussian with the same covariance; random walks 0-2%. The intrinsic dimension (TwoNN) is 20.1 / 22.8 (15m / 1h) for real states and 12.3 for random walks, so low dimension is a property of price windows in general rather than of markets.</w:t>
      </w:r>
    </w:p>
    <w:p>
      <w:pPr>
        <w:pStyle w:val="ListBullet"/>
      </w:pPr>
      <w:r>
        <w:t>Recurrence and identity: every region recurs on the test block (total variation 0.027-0.079). Normalised mutual information with the instrument is at most 0.024; with the hour of day it is 0.09-0.13.</w:t>
      </w:r>
    </w:p>
    <w:p>
      <w:pPr>
        <w:pStyle w:val="ListBullet"/>
      </w:pPr>
      <w:r>
        <w:t>Transitions: information gain of region-to-region transitions over occupancy after 64 bars is 0.28-0.61 bits for real markets and zero or below for random walks. The hour of the next moment and the current volatility decile account for about half of the information at 16 bars and two thirds at 64.</w:t>
      </w:r>
    </w:p>
    <w:p>
      <w:pPr>
        <w:pStyle w:val="ListBullet"/>
      </w:pPr>
      <w:r>
        <w:t>Outcomes: each region's mean |move| replicates across the split at Spearman +0.90 to +0.98 (random walks at most +0.29) and forecasts the next move's size at +0.150 against the volatility ratio's +0.106 (15m). No region has a training drift with |t| &gt; 3, direction AUC is 0.497-0.508, and trading each region's drift loses at every K. The one directional residue, a 15m up/down lean in a few regions, wins 53.6% of symmetric ±2 barrier bets (z +2.5 against the shifted null) and loses 0.26 baseline moves per trade after spread.</w:t>
      </w:r>
    </w:p>
    <w:p>
      <w:pPr/>
      <w:r>
        <w:t>The state manifold has recurring regions with distinguishable transitions, and they are the intraday clock and multi-timeframe volatility; they carry no direction.</w:t>
      </w:r>
    </w:p>
    <w:p>
      <w:pPr>
        <w:pStyle w:val="Heading1"/>
      </w:pPr>
      <w:r>
        <w:t>References</w:t>
      </w:r>
    </w:p>
    <w:p>
      <w:r>
        <w:t>Peters, E. E. (1991). Chaos and Order in the Capital Markets: A New View of Cycles, Prices, and Market Volatility. Wiley.</w:t>
      </w:r>
    </w:p>
    <w:p>
      <w:r>
        <w:t>Peters, E. E. (1994). Fractal Market Analysis: Applying Chaos Theory to Investment and Economics. Wiley.</w:t>
      </w:r>
    </w:p>
    <w:p>
      <w:r>
        <w:t>Subias, J. L. (2019). Quantum model for price forecasting in financial markets. arXiv:1902.10502.</w:t>
      </w:r>
    </w:p>
    <w:p>
      <w:r>
        <w:t>Lin, L. (2024). Quantum Probability Theoretic Asset Return Modeling: A Novel Schrödinger-Like Trading Equation and Multimodal Distribution. arXiv:2401.05823.</w:t>
      </w:r>
    </w:p>
    <w:p>
      <w:r>
        <w:t>Bailey, D. H., &amp; López de Prado, M. (2014). The Deflated Sharpe Ratio: Correcting for Selection Bias, Backtest Overfitting and Non-Normality. Journal of Portfolio Management, 40(5), 94–107.</w:t>
      </w:r>
    </w:p>
    <w:p>
      <w:r>
        <w:t>Bailey, D. H., Borwein, J., López de Prado, M., &amp; Zhu, Q. J. (2014). Pseudo-Mathematics and Financial Charlatanism: The Effects of Backtest Overfitting on Out-of-Sample Performance. Notices of the AMS, 61(5), 458–471.</w:t>
      </w:r>
    </w:p>
    <w:p>
      <w:r>
        <w:t>Bailey, D. H., Borwein, J., López de Prado, M., &amp; Zhu, Q. J. (2015). The Probability of Backtest Overfitting. Journal of Computational Finance.</w:t>
      </w:r>
    </w:p>
    <w:p>
      <w:r>
        <w:t>Ghosh, R., &amp; Devarakonda, V. (2026). FinBench: Time-Gated Calibration and Uncertainty Benchmarking for Agentic Financial Forecasting. arXiv.</w:t>
      </w:r>
    </w:p>
    <w:p>
      <w:r>
        <w:t>Du, H. (2020). Beyond Strictly Proper Scoring Rules: The Importance of Being Local. arXiv:2012.12499.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