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Momentum Bar Build-Up</w:t>
      </w:r>
    </w:p>
    <w:p>
      <w:pPr>
        <w:jc w:val="center"/>
      </w:pPr>
      <w:r>
        <w:rPr>
          <w:i/>
          <w:sz w:val="22"/>
        </w:rPr>
        <w:t>Forecasting the Evolution of Directional Momentum Through Slope, Velocity and Acceleration</w:t>
      </w:r>
    </w:p>
    <w:p>
      <w:pPr>
        <w:jc w:val="center"/>
      </w:pPr>
      <w:r>
        <w:rPr>
          <w:b/>
        </w:rPr>
        <w:t>Research paper and empirical-validation protocol</w:t>
        <w:br/>
      </w:r>
      <w:r>
        <w:t>Version 1.0 | 23 September 2026</w:t>
      </w:r>
    </w:p>
    <w:p/>
    <w:p>
      <w:pPr>
        <w:pStyle w:val="Heading1"/>
      </w:pPr>
      <w:r>
        <w:t>Executive Summary</w:t>
      </w:r>
    </w:p>
    <w:p>
      <w:r>
        <w:t>This paper formalizes the Momentum Bar Build-Up (MBB) hypothesis: the evolution of a momentum process may contain predictive information beyond the current level of momentum. The framework represents a market state using momentum level (M), momentum velocity (V), and momentum acceleration (A), together with trend-fit quality and volatility normalization.</w:t>
      </w:r>
    </w:p>
    <w:p>
      <w:r>
        <w:t>The key empirical question is not whether momentum exists. That is already well established in the time-series momentum literature. The question is whether ΔM and Δ²M add statistically and economically meaningful information after controlling for conventional momentum, trend slope, and volatility.</w:t>
      </w:r>
    </w:p>
    <w:p>
      <w:r>
        <w:t>This document separates three forms of validation: (1) literature validation, which supports the underlying momentum/trend premise; (2) methodological validation, which specifies leakage-safe tests and falsification procedures; and (3) empirical market validation. The latter is explicitly marked as pending where raw OHLCV data were not available to the execution environment. No invented backtest numbers are presented.</w:t>
      </w:r>
    </w:p>
    <w:p>
      <w:pPr>
        <w:pStyle w:val="Heading1"/>
      </w:pPr>
      <w:r>
        <w:t>1. Research Claim</w:t>
      </w:r>
    </w:p>
    <w:p>
      <w:r>
        <w:t>The proposed research claim is deliberately narrow:</w:t>
      </w:r>
    </w:p>
    <w:p>
      <w:r>
        <w:rPr>
          <w:b/>
        </w:rPr>
        <w:t xml:space="preserve">Momentum velocity and acceleration may provide incremental predictive information about future returns </w:t>
      </w:r>
      <w:r>
        <w:t>after controlling for the current momentum level and standard trend measures.</w:t>
      </w:r>
    </w:p>
    <w:p>
      <w:r>
        <w:t>This is materially more defensible than claiming that regression slope itself is a novel predictor. Linear-regression slope is a standard trend statistic. The novelty, if any, lies in studying the trajectory of a normalized momentum process and testing whether its first and second temporal derivatives add information.</w:t>
      </w:r>
    </w:p>
    <w:p>
      <w:pPr>
        <w:pStyle w:val="Heading1"/>
      </w:pPr>
      <w:r>
        <w:t>2. Literature Validation</w:t>
      </w:r>
    </w:p>
    <w:p>
      <w:r>
        <w:t>The existing literature provides strong prior evidence that an asset's own past returns can predict subsequent returns over particular horizons. Moskowitz, Ooi and Pedersen documented time-series momentum across 58 liquid futures and forward contracts spanning equity indices, currencies, commodities and government bonds, reporting persistence over approximately 1–12 months followed by partial reversal at longer horizons.</w:t>
      </w:r>
    </w:p>
    <w:p>
      <w:r>
        <w:t>Hurst, Ooi and Pedersen extended trend-following evidence over a much longer historical period and reported that time-series momentum was observed across many decades and market environments. Later work also shows that trend-following signals can be constructed through several related filters, including time-series momentum and moving-average methods.</w:t>
      </w:r>
    </w:p>
    <w:p>
      <w:r>
        <w:t>Therefore, the literature validates the research foundation but does not, by itself, validate the specific MBB hypothesis. A positive result for MBB requires an incremental-information 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vAlign w:val="center"/>
            <w:shd w:fill="EDEDED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448"/>
            <w:vAlign w:val="center"/>
            <w:shd w:fill="EDEDED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752"/>
            <w:vAlign w:val="center"/>
            <w:shd w:fill="EDEDED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  <w:vAlign w:val="center"/>
          </w:tcPr>
          <w:p>
            <w:r>
              <w:t>Does time-series momentum have documented predictive value?</w:t>
            </w:r>
          </w:p>
        </w:tc>
        <w:tc>
          <w:tcPr>
            <w:tcW w:type="dxa" w:w="2448"/>
            <w:vAlign w:val="center"/>
          </w:tcPr>
          <w:p>
            <w:r>
              <w:t>Supported by prior literature</w:t>
            </w:r>
          </w:p>
        </w:tc>
        <w:tc>
          <w:tcPr>
            <w:tcW w:type="dxa" w:w="4752"/>
            <w:vAlign w:val="center"/>
          </w:tcPr>
          <w:p>
            <w:r>
              <w:t>Multiple studies report persistence across asset classes and horizons.</w:t>
            </w:r>
          </w:p>
        </w:tc>
      </w:tr>
      <w:tr>
        <w:tc>
          <w:tcPr>
            <w:tcW w:type="dxa" w:w="2880"/>
            <w:vAlign w:val="center"/>
          </w:tcPr>
          <w:p>
            <w:r>
              <w:t>Is trend following a recognized family of related filters?</w:t>
            </w:r>
          </w:p>
        </w:tc>
        <w:tc>
          <w:tcPr>
            <w:tcW w:type="dxa" w:w="2448"/>
            <w:vAlign w:val="center"/>
          </w:tcPr>
          <w:p>
            <w:r>
              <w:t>Supported</w:t>
            </w:r>
          </w:p>
        </w:tc>
        <w:tc>
          <w:tcPr>
            <w:tcW w:type="dxa" w:w="4752"/>
            <w:vAlign w:val="center"/>
          </w:tcPr>
          <w:p>
            <w:r>
              <w:t>Literature connects momentum, moving averages and other trend filters.</w:t>
            </w:r>
          </w:p>
        </w:tc>
      </w:tr>
      <w:tr>
        <w:tc>
          <w:tcPr>
            <w:tcW w:type="dxa" w:w="2880"/>
            <w:vAlign w:val="center"/>
          </w:tcPr>
          <w:p>
            <w:r>
              <w:t>Is momentum acceleration itself an established independent anomaly?</w:t>
            </w:r>
          </w:p>
        </w:tc>
        <w:tc>
          <w:tcPr>
            <w:tcW w:type="dxa" w:w="2448"/>
            <w:vAlign w:val="center"/>
          </w:tcPr>
          <w:p>
            <w:r>
              <w:t>Not established by this review</w:t>
            </w:r>
          </w:p>
        </w:tc>
        <w:tc>
          <w:tcPr>
            <w:tcW w:type="dxa" w:w="4752"/>
            <w:vAlign w:val="center"/>
          </w:tcPr>
          <w:p>
            <w:r>
              <w:t>Requires direct empirical testing.</w:t>
            </w:r>
          </w:p>
        </w:tc>
      </w:tr>
      <w:tr>
        <w:tc>
          <w:tcPr>
            <w:tcW w:type="dxa" w:w="2880"/>
            <w:vAlign w:val="center"/>
          </w:tcPr>
          <w:p>
            <w:r>
              <w:t>Does MBB beat simple momentum out of sample?</w:t>
            </w:r>
          </w:p>
        </w:tc>
        <w:tc>
          <w:tcPr>
            <w:tcW w:type="dxa" w:w="2448"/>
            <w:vAlign w:val="center"/>
          </w:tcPr>
          <w:p>
            <w:r>
              <w:t>Pending empirical test</w:t>
            </w:r>
          </w:p>
        </w:tc>
        <w:tc>
          <w:tcPr>
            <w:tcW w:type="dxa" w:w="4752"/>
            <w:vAlign w:val="center"/>
          </w:tcPr>
          <w:p>
            <w:r>
              <w:t>Requires executable historical OHLCV data.</w:t>
            </w:r>
          </w:p>
        </w:tc>
      </w:tr>
      <w:tr>
        <w:tc>
          <w:tcPr>
            <w:tcW w:type="dxa" w:w="2880"/>
            <w:vAlign w:val="center"/>
          </w:tcPr>
          <w:p>
            <w:r>
              <w:t>Does MBB survive costs and data-snooping controls?</w:t>
            </w:r>
          </w:p>
        </w:tc>
        <w:tc>
          <w:tcPr>
            <w:tcW w:type="dxa" w:w="2448"/>
            <w:vAlign w:val="center"/>
          </w:tcPr>
          <w:p>
            <w:r>
              <w:t>Pending empirical test</w:t>
            </w:r>
          </w:p>
        </w:tc>
        <w:tc>
          <w:tcPr>
            <w:tcW w:type="dxa" w:w="4752"/>
            <w:vAlign w:val="center"/>
          </w:tcPr>
          <w:p>
            <w:r>
              <w:t>Must be tested explicitly.</w:t>
            </w:r>
          </w:p>
        </w:tc>
      </w:tr>
    </w:tbl>
    <w:p/>
    <w:p>
      <w:pPr>
        <w:pStyle w:val="Heading1"/>
      </w:pPr>
      <w:r>
        <w:t>3. Formal Model</w:t>
      </w:r>
    </w:p>
    <w:p>
      <w:pPr>
        <w:pStyle w:val="Heading2"/>
      </w:pPr>
      <w:r>
        <w:t>3.1 Returns</w:t>
      </w:r>
    </w:p>
    <w:p>
      <w:r>
        <w:t>Let the close price at bar t be Pₜ. Define log return:</w:t>
      </w:r>
    </w:p>
    <w:p>
      <w:r>
        <w:t>rₜ = ln(Pₜ / Pₜ₋₁)</w:t>
      </w:r>
    </w:p>
    <w:p>
      <w:r>
        <w:t>A normalized momentum measure is constructed over a lookback L. One simple specification is a weighted return sum divided by rolling volatility:</w:t>
      </w:r>
    </w:p>
    <w:p>
      <w:r>
        <w:t>Mₜ = [Σᵢ wᵢ rₜ₋ᵢ] / σₜ</w:t>
      </w:r>
    </w:p>
    <w:p>
      <w:r>
        <w:t>Alternative definitions should be tested as separate model families rather than mixed freely during optimization.</w:t>
      </w:r>
    </w:p>
    <w:p>
      <w:pPr>
        <w:pStyle w:val="Heading2"/>
      </w:pPr>
      <w:r>
        <w:t>3.2 Momentum Velocity</w:t>
      </w:r>
    </w:p>
    <w:p>
      <w:r>
        <w:t>Momentum velocity measures the change in momentum:</w:t>
      </w:r>
    </w:p>
    <w:p>
      <w:r>
        <w:t>Vₜ = Mₜ − Mₜ₋ₖ</w:t>
      </w:r>
    </w:p>
    <w:p>
      <w:r>
        <w:t>Positive V means momentum is strengthening; negative V means momentum is weakening.</w:t>
      </w:r>
    </w:p>
    <w:p>
      <w:pPr>
        <w:pStyle w:val="Heading2"/>
      </w:pPr>
      <w:r>
        <w:t>3.3 Momentum Acceleration</w:t>
      </w:r>
    </w:p>
    <w:p>
      <w:r>
        <w:t>Momentum acceleration measures the change in velocity:</w:t>
      </w:r>
    </w:p>
    <w:p>
      <w:r>
        <w:t>Aₜ = Vₜ − Vₜ₋ₖ = Mₜ − 2Mₜ₋ₖ + Mₜ₋₂ₖ</w:t>
      </w:r>
    </w:p>
    <w:p>
      <w:r>
        <w:t>This is the central extension beyond ordinary momentum. It asks whether the process of momentum formation is itself speeding up or slowing down.</w:t>
      </w:r>
    </w:p>
    <w:p>
      <w:pPr>
        <w:pStyle w:val="Heading2"/>
      </w:pPr>
      <w:r>
        <w:t>3.4 Local Momentum Trend</w:t>
      </w:r>
    </w:p>
    <w:p>
      <w:r>
        <w:t>For a rolling window W, fit a local regression to the momentum series:</w:t>
      </w:r>
    </w:p>
    <w:p>
      <w:r>
        <w:t>Mₜ₋ᵢ = αₜ + βₜ i + εₜ₋ᵢ</w:t>
      </w:r>
    </w:p>
    <w:p>
      <w:r>
        <w:t>The estimated slope β̂ is the local momentum trajectory. R² or another fit-quality statistic can be used to distinguish a strong linear build-up from noisy movement.</w:t>
      </w:r>
    </w:p>
    <w:p>
      <w:pPr>
        <w:pStyle w:val="Heading1"/>
      </w:pPr>
      <w:r>
        <w:t>4. Core MBB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DEDED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3264"/>
            <w:vAlign w:val="center"/>
            <w:shd w:fill="EDEDED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264"/>
            <w:vAlign w:val="center"/>
            <w:shd w:fill="EDEDED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3264"/>
            <w:vAlign w:val="center"/>
          </w:tcPr>
          <w:p>
            <w:r>
              <w:t>M</w:t>
            </w:r>
          </w:p>
        </w:tc>
        <w:tc>
          <w:tcPr>
            <w:tcW w:type="dxa" w:w="3264"/>
            <w:vAlign w:val="center"/>
          </w:tcPr>
          <w:p>
            <w:r>
              <w:t>Momentum level</w:t>
            </w:r>
          </w:p>
        </w:tc>
        <w:tc>
          <w:tcPr>
            <w:tcW w:type="dxa" w:w="3264"/>
            <w:vAlign w:val="center"/>
          </w:tcPr>
          <w:p>
            <w:r>
              <w:t>Current directional pressure</w:t>
            </w:r>
          </w:p>
        </w:tc>
      </w:tr>
      <w:tr>
        <w:tc>
          <w:tcPr>
            <w:tcW w:type="dxa" w:w="3264"/>
            <w:vAlign w:val="center"/>
          </w:tcPr>
          <w:p>
            <w:r>
              <w:t>V = ΔM</w:t>
            </w:r>
          </w:p>
        </w:tc>
        <w:tc>
          <w:tcPr>
            <w:tcW w:type="dxa" w:w="3264"/>
            <w:vAlign w:val="center"/>
          </w:tcPr>
          <w:p>
            <w:r>
              <w:t>Momentum velocity</w:t>
            </w:r>
          </w:p>
        </w:tc>
        <w:tc>
          <w:tcPr>
            <w:tcW w:type="dxa" w:w="3264"/>
            <w:vAlign w:val="center"/>
          </w:tcPr>
          <w:p>
            <w:r>
              <w:t>Rate at which momentum is changing</w:t>
            </w:r>
          </w:p>
        </w:tc>
      </w:tr>
      <w:tr>
        <w:tc>
          <w:tcPr>
            <w:tcW w:type="dxa" w:w="3264"/>
            <w:vAlign w:val="center"/>
          </w:tcPr>
          <w:p>
            <w:r>
              <w:t>A = Δ²M</w:t>
            </w:r>
          </w:p>
        </w:tc>
        <w:tc>
          <w:tcPr>
            <w:tcW w:type="dxa" w:w="3264"/>
            <w:vAlign w:val="center"/>
          </w:tcPr>
          <w:p>
            <w:r>
              <w:t>Momentum acceleration</w:t>
            </w:r>
          </w:p>
        </w:tc>
        <w:tc>
          <w:tcPr>
            <w:tcW w:type="dxa" w:w="3264"/>
            <w:vAlign w:val="center"/>
          </w:tcPr>
          <w:p>
            <w:r>
              <w:t>Rate at which momentum velocity is changing</w:t>
            </w:r>
          </w:p>
        </w:tc>
      </w:tr>
      <w:tr>
        <w:tc>
          <w:tcPr>
            <w:tcW w:type="dxa" w:w="3264"/>
            <w:vAlign w:val="center"/>
          </w:tcPr>
          <w:p>
            <w:r>
              <w:t>β̂</w:t>
            </w:r>
          </w:p>
        </w:tc>
        <w:tc>
          <w:tcPr>
            <w:tcW w:type="dxa" w:w="3264"/>
            <w:vAlign w:val="center"/>
          </w:tcPr>
          <w:p>
            <w:r>
              <w:t>Local momentum slope</w:t>
            </w:r>
          </w:p>
        </w:tc>
        <w:tc>
          <w:tcPr>
            <w:tcW w:type="dxa" w:w="3264"/>
            <w:vAlign w:val="center"/>
          </w:tcPr>
          <w:p>
            <w:r>
              <w:t>Direction and magnitude of the local trajectory</w:t>
            </w:r>
          </w:p>
        </w:tc>
      </w:tr>
      <w:tr>
        <w:tc>
          <w:tcPr>
            <w:tcW w:type="dxa" w:w="3264"/>
            <w:vAlign w:val="center"/>
          </w:tcPr>
          <w:p>
            <w:r>
              <w:t>R²</w:t>
            </w:r>
          </w:p>
        </w:tc>
        <w:tc>
          <w:tcPr>
            <w:tcW w:type="dxa" w:w="3264"/>
            <w:vAlign w:val="center"/>
          </w:tcPr>
          <w:p>
            <w:r>
              <w:t>Trajectory quality</w:t>
            </w:r>
          </w:p>
        </w:tc>
        <w:tc>
          <w:tcPr>
            <w:tcW w:type="dxa" w:w="3264"/>
            <w:vAlign w:val="center"/>
          </w:tcPr>
          <w:p>
            <w:r>
              <w:t>How well a line explains the recent momentum path</w:t>
            </w:r>
          </w:p>
        </w:tc>
      </w:tr>
      <w:tr>
        <w:tc>
          <w:tcPr>
            <w:tcW w:type="dxa" w:w="3264"/>
            <w:vAlign w:val="center"/>
          </w:tcPr>
          <w:p>
            <w:r>
              <w:t>σ</w:t>
            </w:r>
          </w:p>
        </w:tc>
        <w:tc>
          <w:tcPr>
            <w:tcW w:type="dxa" w:w="3264"/>
            <w:vAlign w:val="center"/>
          </w:tcPr>
          <w:p>
            <w:r>
              <w:t>Volatility</w:t>
            </w:r>
          </w:p>
        </w:tc>
        <w:tc>
          <w:tcPr>
            <w:tcW w:type="dxa" w:w="3264"/>
            <w:vAlign w:val="center"/>
          </w:tcPr>
          <w:p>
            <w:r>
              <w:t>Current risk/noise regime</w:t>
            </w:r>
          </w:p>
        </w:tc>
      </w:tr>
    </w:tbl>
    <w:p/>
    <w:p>
      <w:pPr>
        <w:pStyle w:val="Heading1"/>
      </w:pPr>
      <w:r>
        <w:t>5. Regime Hypothesis</w:t>
      </w:r>
    </w:p>
    <w:p>
      <w:r>
        <w:t>The framework predicts that the most informative state may not be a mature trend. Instead, an emerging regime may be characterized by near-neutral momentum combined with positive momentum velocity and positive acceleration.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DEDED"/>
          </w:tcPr>
          <w:p>
            <w:r>
              <w:rPr>
                <w:b/>
              </w:rPr>
              <w:t>M</w:t>
            </w:r>
          </w:p>
        </w:tc>
        <w:tc>
          <w:tcPr>
            <w:tcW w:type="dxa" w:w="2448"/>
            <w:vAlign w:val="center"/>
            <w:shd w:fill="EDEDED"/>
          </w:tcPr>
          <w:p>
            <w:r>
              <w:rPr>
                <w:b/>
              </w:rPr>
              <w:t>V</w:t>
            </w:r>
          </w:p>
        </w:tc>
        <w:tc>
          <w:tcPr>
            <w:tcW w:type="dxa" w:w="2448"/>
            <w:vAlign w:val="center"/>
            <w:shd w:fill="EDEDED"/>
          </w:tcPr>
          <w:p>
            <w:r>
              <w:rPr>
                <w:b/>
              </w:rPr>
              <w:t>A</w:t>
            </w:r>
          </w:p>
        </w:tc>
        <w:tc>
          <w:tcPr>
            <w:tcW w:type="dxa" w:w="2448"/>
            <w:vAlign w:val="center"/>
            <w:shd w:fill="EDEDED"/>
          </w:tcPr>
          <w:p>
            <w:r>
              <w:rPr>
                <w:b/>
              </w:rPr>
              <w:t>Research interpretation</w:t>
            </w:r>
          </w:p>
        </w:tc>
      </w:tr>
      <w:tr>
        <w:tc>
          <w:tcPr>
            <w:tcW w:type="dxa" w:w="2448"/>
            <w:vAlign w:val="center"/>
          </w:tcPr>
          <w:p>
            <w:r>
              <w:t>+</w:t>
            </w:r>
          </w:p>
        </w:tc>
        <w:tc>
          <w:tcPr>
            <w:tcW w:type="dxa" w:w="2448"/>
            <w:vAlign w:val="center"/>
          </w:tcPr>
          <w:p>
            <w:r>
              <w:t>+</w:t>
            </w:r>
          </w:p>
        </w:tc>
        <w:tc>
          <w:tcPr>
            <w:tcW w:type="dxa" w:w="2448"/>
            <w:vAlign w:val="center"/>
          </w:tcPr>
          <w:p>
            <w:r>
              <w:t>+</w:t>
            </w:r>
          </w:p>
        </w:tc>
        <w:tc>
          <w:tcPr>
            <w:tcW w:type="dxa" w:w="2448"/>
            <w:vAlign w:val="center"/>
          </w:tcPr>
          <w:p>
            <w:r>
              <w:t>Accelerating positive momentum</w:t>
            </w:r>
          </w:p>
        </w:tc>
      </w:tr>
      <w:tr>
        <w:tc>
          <w:tcPr>
            <w:tcW w:type="dxa" w:w="2448"/>
            <w:vAlign w:val="center"/>
          </w:tcPr>
          <w:p>
            <w:r>
              <w:t>+</w:t>
            </w:r>
          </w:p>
        </w:tc>
        <w:tc>
          <w:tcPr>
            <w:tcW w:type="dxa" w:w="2448"/>
            <w:vAlign w:val="center"/>
          </w:tcPr>
          <w:p>
            <w:r>
              <w:t>+</w:t>
            </w:r>
          </w:p>
        </w:tc>
        <w:tc>
          <w:tcPr>
            <w:tcW w:type="dxa" w:w="2448"/>
            <w:vAlign w:val="center"/>
          </w:tcPr>
          <w:p>
            <w:r>
              <w:t>−</w:t>
            </w:r>
          </w:p>
        </w:tc>
        <w:tc>
          <w:tcPr>
            <w:tcW w:type="dxa" w:w="2448"/>
            <w:vAlign w:val="center"/>
          </w:tcPr>
          <w:p>
            <w:r>
              <w:t>Positive momentum but decelerating</w:t>
            </w:r>
          </w:p>
        </w:tc>
      </w:tr>
      <w:tr>
        <w:tc>
          <w:tcPr>
            <w:tcW w:type="dxa" w:w="2448"/>
            <w:vAlign w:val="center"/>
          </w:tcPr>
          <w:p>
            <w:r>
              <w:t>+</w:t>
            </w:r>
          </w:p>
        </w:tc>
        <w:tc>
          <w:tcPr>
            <w:tcW w:type="dxa" w:w="2448"/>
            <w:vAlign w:val="center"/>
          </w:tcPr>
          <w:p>
            <w:r>
              <w:t>−</w:t>
            </w:r>
          </w:p>
        </w:tc>
        <w:tc>
          <w:tcPr>
            <w:tcW w:type="dxa" w:w="2448"/>
            <w:vAlign w:val="center"/>
          </w:tcPr>
          <w:p>
            <w:r>
              <w:t>−</w:t>
            </w:r>
          </w:p>
        </w:tc>
        <w:tc>
          <w:tcPr>
            <w:tcW w:type="dxa" w:w="2448"/>
            <w:vAlign w:val="center"/>
          </w:tcPr>
          <w:p>
            <w:r>
              <w:t>Momentum deterioration / possible exhaustion</w:t>
            </w:r>
          </w:p>
        </w:tc>
      </w:tr>
      <w:tr>
        <w:tc>
          <w:tcPr>
            <w:tcW w:type="dxa" w:w="2448"/>
            <w:vAlign w:val="center"/>
          </w:tcPr>
          <w:p>
            <w:r>
              <w:t>−</w:t>
            </w:r>
          </w:p>
        </w:tc>
        <w:tc>
          <w:tcPr>
            <w:tcW w:type="dxa" w:w="2448"/>
            <w:vAlign w:val="center"/>
          </w:tcPr>
          <w:p>
            <w:r>
              <w:t>−</w:t>
            </w:r>
          </w:p>
        </w:tc>
        <w:tc>
          <w:tcPr>
            <w:tcW w:type="dxa" w:w="2448"/>
            <w:vAlign w:val="center"/>
          </w:tcPr>
          <w:p>
            <w:r>
              <w:t>−</w:t>
            </w:r>
          </w:p>
        </w:tc>
        <w:tc>
          <w:tcPr>
            <w:tcW w:type="dxa" w:w="2448"/>
            <w:vAlign w:val="center"/>
          </w:tcPr>
          <w:p>
            <w:r>
              <w:t>Accelerating negative momentum</w:t>
            </w:r>
          </w:p>
        </w:tc>
      </w:tr>
      <w:tr>
        <w:tc>
          <w:tcPr>
            <w:tcW w:type="dxa" w:w="2448"/>
            <w:vAlign w:val="center"/>
          </w:tcPr>
          <w:p>
            <w:r>
              <w:t>−</w:t>
            </w:r>
          </w:p>
        </w:tc>
        <w:tc>
          <w:tcPr>
            <w:tcW w:type="dxa" w:w="2448"/>
            <w:vAlign w:val="center"/>
          </w:tcPr>
          <w:p>
            <w:r>
              <w:t>−</w:t>
            </w:r>
          </w:p>
        </w:tc>
        <w:tc>
          <w:tcPr>
            <w:tcW w:type="dxa" w:w="2448"/>
            <w:vAlign w:val="center"/>
          </w:tcPr>
          <w:p>
            <w:r>
              <w:t>+</w:t>
            </w:r>
          </w:p>
        </w:tc>
        <w:tc>
          <w:tcPr>
            <w:tcW w:type="dxa" w:w="2448"/>
            <w:vAlign w:val="center"/>
          </w:tcPr>
          <w:p>
            <w:r>
              <w:t>Negative momentum weakening</w:t>
            </w:r>
          </w:p>
        </w:tc>
      </w:tr>
      <w:tr>
        <w:tc>
          <w:tcPr>
            <w:tcW w:type="dxa" w:w="2448"/>
            <w:vAlign w:val="center"/>
          </w:tcPr>
          <w:p>
            <w:r>
              <w:t>≈0</w:t>
            </w:r>
          </w:p>
        </w:tc>
        <w:tc>
          <w:tcPr>
            <w:tcW w:type="dxa" w:w="2448"/>
            <w:vAlign w:val="center"/>
          </w:tcPr>
          <w:p>
            <w:r>
              <w:t>+</w:t>
            </w:r>
          </w:p>
        </w:tc>
        <w:tc>
          <w:tcPr>
            <w:tcW w:type="dxa" w:w="2448"/>
            <w:vAlign w:val="center"/>
          </w:tcPr>
          <w:p>
            <w:r>
              <w:t>+</w:t>
            </w:r>
          </w:p>
        </w:tc>
        <w:tc>
          <w:tcPr>
            <w:tcW w:type="dxa" w:w="2448"/>
            <w:vAlign w:val="center"/>
          </w:tcPr>
          <w:p>
            <w:r>
              <w:t>Emerging upside momentum</w:t>
            </w:r>
          </w:p>
        </w:tc>
      </w:tr>
      <w:tr>
        <w:tc>
          <w:tcPr>
            <w:tcW w:type="dxa" w:w="2448"/>
            <w:vAlign w:val="center"/>
          </w:tcPr>
          <w:p>
            <w:r>
              <w:t>≈0</w:t>
            </w:r>
          </w:p>
        </w:tc>
        <w:tc>
          <w:tcPr>
            <w:tcW w:type="dxa" w:w="2448"/>
            <w:vAlign w:val="center"/>
          </w:tcPr>
          <w:p>
            <w:r>
              <w:t>−</w:t>
            </w:r>
          </w:p>
        </w:tc>
        <w:tc>
          <w:tcPr>
            <w:tcW w:type="dxa" w:w="2448"/>
            <w:vAlign w:val="center"/>
          </w:tcPr>
          <w:p>
            <w:r>
              <w:t>−</w:t>
            </w:r>
          </w:p>
        </w:tc>
        <w:tc>
          <w:tcPr>
            <w:tcW w:type="dxa" w:w="2448"/>
            <w:vAlign w:val="center"/>
          </w:tcPr>
          <w:p>
            <w:r>
              <w:t>Emerging downside momentum</w:t>
            </w:r>
          </w:p>
        </w:tc>
      </w:tr>
    </w:tbl>
    <w:p/>
    <w:p>
      <w:pPr>
        <w:pStyle w:val="Heading1"/>
      </w:pPr>
      <w:r>
        <w:t>6. Forecast Equations</w:t>
      </w:r>
    </w:p>
    <w:p>
      <w:r>
        <w:t>A first-order momentum forecast is:</w:t>
      </w:r>
    </w:p>
    <w:p>
      <w:r>
        <w:t>M̂ₜ₊ₕ = Mₜ + hVₜ</w:t>
      </w:r>
    </w:p>
    <w:p>
      <w:r>
        <w:t>A second-order forecast is:</w:t>
      </w:r>
    </w:p>
    <w:p>
      <w:r>
        <w:t>M̂ₜ₊ₕ = Mₜ + hVₜ + 0.5 h² Aₜ</w:t>
      </w:r>
    </w:p>
    <w:p>
      <w:r>
        <w:t>These equations are descriptive forecasting devices, not assumptions that markets obey deterministic physics. Their usefulness must be evaluated out of sample.</w:t>
      </w:r>
    </w:p>
    <w:p>
      <w:pPr>
        <w:pStyle w:val="Heading1"/>
      </w:pPr>
      <w:r>
        <w:t>7. Statistical Prediction Test</w:t>
      </w:r>
    </w:p>
    <w:p>
      <w:r>
        <w:t>The primary regression specification is:</w:t>
      </w:r>
    </w:p>
    <w:p>
      <w:r>
        <w:t>rₜ₊ₕ = α + β₁Mₜ + β₂Vₜ + β₃Aₜ + β₄σₜ + εₜ₊ₕ</w:t>
      </w:r>
    </w:p>
    <w:p>
      <w:r>
        <w:t>The key test is whether β₂ and β₃ remain statistically and economically meaningful after controlling for M and volatility.</w:t>
      </w:r>
    </w:p>
    <w:p>
      <w:r>
        <w:t>A stronger specification adds conventional trend controls:</w:t>
      </w:r>
    </w:p>
    <w:p>
      <w:r>
        <w:t>rₜ₊ₕ = α + β₁Mₜ + β₂Vₜ + β₃Aₜ + β₄TrendSlopeₜ + β₅σₜ + εₜ₊ₕ</w:t>
      </w:r>
    </w:p>
    <w:p>
      <w:pPr>
        <w:pStyle w:val="Heading1"/>
      </w:pPr>
      <w:r>
        <w:t>8. Baseline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DEDED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4896"/>
            <w:vAlign w:val="center"/>
            <w:shd w:fill="EDEDED"/>
          </w:tcPr>
          <w:p>
            <w:r>
              <w:rPr>
                <w:b/>
              </w:rPr>
              <w:t>Features</w:t>
            </w:r>
          </w:p>
        </w:tc>
      </w:tr>
      <w:tr>
        <w:tc>
          <w:tcPr>
            <w:tcW w:type="dxa" w:w="4896"/>
            <w:vAlign w:val="center"/>
          </w:tcPr>
          <w:p>
            <w:r>
              <w:t>B0: Direction persistence</w:t>
            </w:r>
          </w:p>
        </w:tc>
        <w:tc>
          <w:tcPr>
            <w:tcW w:type="dxa" w:w="4896"/>
            <w:vAlign w:val="center"/>
          </w:tcPr>
          <w:p>
            <w:r>
              <w:t>sign of recent return</w:t>
            </w:r>
          </w:p>
        </w:tc>
      </w:tr>
      <w:tr>
        <w:tc>
          <w:tcPr>
            <w:tcW w:type="dxa" w:w="4896"/>
            <w:vAlign w:val="center"/>
          </w:tcPr>
          <w:p>
            <w:r>
              <w:t>B1: Raw momentum</w:t>
            </w:r>
          </w:p>
        </w:tc>
        <w:tc>
          <w:tcPr>
            <w:tcW w:type="dxa" w:w="4896"/>
            <w:vAlign w:val="center"/>
          </w:tcPr>
          <w:p>
            <w:r>
              <w:t>M only</w:t>
            </w:r>
          </w:p>
        </w:tc>
      </w:tr>
      <w:tr>
        <w:tc>
          <w:tcPr>
            <w:tcW w:type="dxa" w:w="4896"/>
            <w:vAlign w:val="center"/>
          </w:tcPr>
          <w:p>
            <w:r>
              <w:t>B2: Moving-average trend</w:t>
            </w:r>
          </w:p>
        </w:tc>
        <w:tc>
          <w:tcPr>
            <w:tcW w:type="dxa" w:w="4896"/>
            <w:vAlign w:val="center"/>
          </w:tcPr>
          <w:p>
            <w:r>
              <w:t>fast MA − slow MA</w:t>
            </w:r>
          </w:p>
        </w:tc>
      </w:tr>
      <w:tr>
        <w:tc>
          <w:tcPr>
            <w:tcW w:type="dxa" w:w="4896"/>
            <w:vAlign w:val="center"/>
          </w:tcPr>
          <w:p>
            <w:r>
              <w:t>B3: Regression slope</w:t>
            </w:r>
          </w:p>
        </w:tc>
        <w:tc>
          <w:tcPr>
            <w:tcW w:type="dxa" w:w="4896"/>
            <w:vAlign w:val="center"/>
          </w:tcPr>
          <w:p>
            <w:r>
              <w:t>price/trendline slope</w:t>
            </w:r>
          </w:p>
        </w:tc>
      </w:tr>
      <w:tr>
        <w:tc>
          <w:tcPr>
            <w:tcW w:type="dxa" w:w="4896"/>
            <w:vAlign w:val="center"/>
          </w:tcPr>
          <w:p>
            <w:r>
              <w:t>B4: Momentum + volatility</w:t>
            </w:r>
          </w:p>
        </w:tc>
        <w:tc>
          <w:tcPr>
            <w:tcW w:type="dxa" w:w="4896"/>
            <w:vAlign w:val="center"/>
          </w:tcPr>
          <w:p>
            <w:r>
              <w:t>M + σ</w:t>
            </w:r>
          </w:p>
        </w:tc>
      </w:tr>
      <w:tr>
        <w:tc>
          <w:tcPr>
            <w:tcW w:type="dxa" w:w="4896"/>
            <w:vAlign w:val="center"/>
          </w:tcPr>
          <w:p>
            <w:r>
              <w:t>B5: MBB velocity</w:t>
            </w:r>
          </w:p>
        </w:tc>
        <w:tc>
          <w:tcPr>
            <w:tcW w:type="dxa" w:w="4896"/>
            <w:vAlign w:val="center"/>
          </w:tcPr>
          <w:p>
            <w:r>
              <w:t>M + V + σ</w:t>
            </w:r>
          </w:p>
        </w:tc>
      </w:tr>
      <w:tr>
        <w:tc>
          <w:tcPr>
            <w:tcW w:type="dxa" w:w="4896"/>
            <w:vAlign w:val="center"/>
          </w:tcPr>
          <w:p>
            <w:r>
              <w:t>B6: Full MBB</w:t>
            </w:r>
          </w:p>
        </w:tc>
        <w:tc>
          <w:tcPr>
            <w:tcW w:type="dxa" w:w="4896"/>
            <w:vAlign w:val="center"/>
          </w:tcPr>
          <w:p>
            <w:r>
              <w:t>M + V + A + slope + R² + σ</w:t>
            </w:r>
          </w:p>
        </w:tc>
      </w:tr>
    </w:tbl>
    <w:p/>
    <w:p>
      <w:r>
        <w:t>The ablation sequence is important. If B6 works but B4 already explains nearly all of the improvement, then the acceleration story is weaker than it initially appears.</w:t>
      </w:r>
    </w:p>
    <w:p>
      <w:pPr>
        <w:pStyle w:val="Heading1"/>
      </w:pPr>
      <w:r>
        <w:t>9. Proposed Empirical Universe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DEDED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3264"/>
            <w:vAlign w:val="center"/>
            <w:shd w:fill="EDEDED"/>
          </w:tcPr>
          <w:p>
            <w:r>
              <w:rPr>
                <w:b/>
              </w:rPr>
              <w:t>Symbol / proxy</w:t>
            </w:r>
          </w:p>
        </w:tc>
        <w:tc>
          <w:tcPr>
            <w:tcW w:type="dxa" w:w="3264"/>
            <w:vAlign w:val="center"/>
            <w:shd w:fill="EDEDED"/>
          </w:tcPr>
          <w:p>
            <w:r>
              <w:rPr>
                <w:b/>
              </w:rPr>
              <w:t>Primary reason</w:t>
            </w:r>
          </w:p>
        </w:tc>
      </w:tr>
      <w:tr>
        <w:tc>
          <w:tcPr>
            <w:tcW w:type="dxa" w:w="3264"/>
            <w:vAlign w:val="center"/>
          </w:tcPr>
          <w:p>
            <w:r>
              <w:t>EUR/USD</w:t>
            </w:r>
          </w:p>
        </w:tc>
        <w:tc>
          <w:tcPr>
            <w:tcW w:type="dxa" w:w="3264"/>
            <w:vAlign w:val="center"/>
          </w:tcPr>
          <w:p>
            <w:r>
              <w:t>EURUSD</w:t>
            </w:r>
          </w:p>
        </w:tc>
        <w:tc>
          <w:tcPr>
            <w:tcW w:type="dxa" w:w="3264"/>
            <w:vAlign w:val="center"/>
          </w:tcPr>
          <w:p>
            <w:r>
              <w:t>Liquid FX market</w:t>
            </w:r>
          </w:p>
        </w:tc>
      </w:tr>
      <w:tr>
        <w:tc>
          <w:tcPr>
            <w:tcW w:type="dxa" w:w="3264"/>
            <w:vAlign w:val="center"/>
          </w:tcPr>
          <w:p>
            <w:r>
              <w:t>Bitcoin</w:t>
            </w:r>
          </w:p>
        </w:tc>
        <w:tc>
          <w:tcPr>
            <w:tcW w:type="dxa" w:w="3264"/>
            <w:vAlign w:val="center"/>
          </w:tcPr>
          <w:p>
            <w:r>
              <w:t>BTC/USD</w:t>
            </w:r>
          </w:p>
        </w:tc>
        <w:tc>
          <w:tcPr>
            <w:tcW w:type="dxa" w:w="3264"/>
            <w:vAlign w:val="center"/>
          </w:tcPr>
          <w:p>
            <w:r>
              <w:t>24/7 digital asset with different market microstructure</w:t>
            </w:r>
          </w:p>
        </w:tc>
      </w:tr>
      <w:tr>
        <w:tc>
          <w:tcPr>
            <w:tcW w:type="dxa" w:w="3264"/>
            <w:vAlign w:val="center"/>
          </w:tcPr>
          <w:p>
            <w:r>
              <w:t>Gold</w:t>
            </w:r>
          </w:p>
        </w:tc>
        <w:tc>
          <w:tcPr>
            <w:tcW w:type="dxa" w:w="3264"/>
            <w:vAlign w:val="center"/>
          </w:tcPr>
          <w:p>
            <w:r>
              <w:t>XAU/USD</w:t>
            </w:r>
          </w:p>
        </w:tc>
        <w:tc>
          <w:tcPr>
            <w:tcW w:type="dxa" w:w="3264"/>
            <w:vAlign w:val="center"/>
          </w:tcPr>
          <w:p>
            <w:r>
              <w:t>Precious metal / macro-sensitive asset</w:t>
            </w:r>
          </w:p>
        </w:tc>
      </w:tr>
      <w:tr>
        <w:tc>
          <w:tcPr>
            <w:tcW w:type="dxa" w:w="3264"/>
            <w:vAlign w:val="center"/>
          </w:tcPr>
          <w:p>
            <w:r>
              <w:t>Silver</w:t>
            </w:r>
          </w:p>
        </w:tc>
        <w:tc>
          <w:tcPr>
            <w:tcW w:type="dxa" w:w="3264"/>
            <w:vAlign w:val="center"/>
          </w:tcPr>
          <w:p>
            <w:r>
              <w:t>XAG/USD</w:t>
            </w:r>
          </w:p>
        </w:tc>
        <w:tc>
          <w:tcPr>
            <w:tcW w:type="dxa" w:w="3264"/>
            <w:vAlign w:val="center"/>
          </w:tcPr>
          <w:p>
            <w:r>
              <w:t>Related metal with different volatility characteristics</w:t>
            </w:r>
          </w:p>
        </w:tc>
      </w:tr>
      <w:tr>
        <w:tc>
          <w:tcPr>
            <w:tcW w:type="dxa" w:w="3264"/>
            <w:vAlign w:val="center"/>
          </w:tcPr>
          <w:p>
            <w:r>
              <w:t>Equity index</w:t>
            </w:r>
          </w:p>
        </w:tc>
        <w:tc>
          <w:tcPr>
            <w:tcW w:type="dxa" w:w="3264"/>
            <w:vAlign w:val="center"/>
          </w:tcPr>
          <w:p>
            <w:r>
              <w:t>S&amp;P 500 or equivalent</w:t>
            </w:r>
          </w:p>
        </w:tc>
        <w:tc>
          <w:tcPr>
            <w:tcW w:type="dxa" w:w="3264"/>
            <w:vAlign w:val="center"/>
          </w:tcPr>
          <w:p>
            <w:r>
              <w:t>Broad risk-asset benchmark</w:t>
            </w:r>
          </w:p>
        </w:tc>
      </w:tr>
    </w:tbl>
    <w:p/>
    <w:p>
      <w:r>
        <w:t>The research should use consistent UTC timestamps, instrument-specific trading-session handling, and separate treatment of 24/7 versus 24/5 markets.</w:t>
      </w:r>
    </w:p>
    <w:p>
      <w:pPr>
        <w:pStyle w:val="Heading1"/>
      </w:pPr>
      <w:r>
        <w:t>10. Timeframes and Horizons</w:t>
      </w:r>
    </w:p>
    <w:p>
      <w:r>
        <w:t>The intended grid is 15-minute, 1-hour, 4-hour and daily bars where sufficient history exists. Forecast horizons should be expressed in bars so that comparisons remain coherent.</w:t>
      </w:r>
    </w:p>
    <w:p>
      <w:r>
        <w:t>Do not optimize every parameter independently for every market and timeframe. That would create a parameter-mining machine wearing a lab coat.</w:t>
      </w:r>
    </w:p>
    <w:p>
      <w:pPr>
        <w:pStyle w:val="Heading1"/>
      </w:pPr>
      <w:r>
        <w:t>11. Walk-Forward Validation</w:t>
      </w:r>
    </w:p>
    <w:p>
      <w:pPr>
        <w:pStyle w:val="ListNumber"/>
      </w:pPr>
      <w:r>
        <w:t>Define the feature construction and allowable parameter ranges before inspecting final test results.</w:t>
      </w:r>
    </w:p>
    <w:p>
      <w:pPr>
        <w:pStyle w:val="ListNumber"/>
      </w:pPr>
      <w:r>
        <w:t>Split data chronologically into training, validation and final test periods.</w:t>
      </w:r>
    </w:p>
    <w:p>
      <w:pPr>
        <w:pStyle w:val="ListNumber"/>
      </w:pPr>
      <w:r>
        <w:t>Fit parameters only on information available before each forecast.</w:t>
      </w:r>
    </w:p>
    <w:p>
      <w:pPr>
        <w:pStyle w:val="ListNumber"/>
      </w:pPr>
      <w:r>
        <w:t>Move the walk-forward origin forward and repeat.</w:t>
      </w:r>
    </w:p>
    <w:p>
      <w:pPr>
        <w:pStyle w:val="ListNumber"/>
      </w:pPr>
      <w:r>
        <w:t>Freeze the final model before evaluating the untouched test set.</w:t>
      </w:r>
    </w:p>
    <w:p>
      <w:pPr>
        <w:pStyle w:val="ListNumber"/>
      </w:pPr>
      <w:r>
        <w:t>Report aggregate and per-asset results rather than only the pooled result.</w:t>
      </w:r>
    </w:p>
    <w:p>
      <w:pPr>
        <w:pStyle w:val="Heading1"/>
      </w:pPr>
      <w:r>
        <w:t>12. Primary Evaluation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DEDED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896"/>
            <w:vAlign w:val="center"/>
            <w:shd w:fill="EDEDED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896"/>
            <w:vAlign w:val="center"/>
          </w:tcPr>
          <w:p>
            <w:r>
              <w:t>Directional accuracy</w:t>
            </w:r>
          </w:p>
        </w:tc>
        <w:tc>
          <w:tcPr>
            <w:tcW w:type="dxa" w:w="4896"/>
            <w:vAlign w:val="center"/>
          </w:tcPr>
          <w:p>
            <w:r>
              <w:t>Measures sign prediction</w:t>
            </w:r>
          </w:p>
        </w:tc>
      </w:tr>
      <w:tr>
        <w:tc>
          <w:tcPr>
            <w:tcW w:type="dxa" w:w="4896"/>
            <w:vAlign w:val="center"/>
          </w:tcPr>
          <w:p>
            <w:r>
              <w:t>Balanced accuracy</w:t>
            </w:r>
          </w:p>
        </w:tc>
        <w:tc>
          <w:tcPr>
            <w:tcW w:type="dxa" w:w="4896"/>
            <w:vAlign w:val="center"/>
          </w:tcPr>
          <w:p>
            <w:r>
              <w:t>Controls for class imbalance</w:t>
            </w:r>
          </w:p>
        </w:tc>
      </w:tr>
      <w:tr>
        <w:tc>
          <w:tcPr>
            <w:tcW w:type="dxa" w:w="4896"/>
            <w:vAlign w:val="center"/>
          </w:tcPr>
          <w:p>
            <w:r>
              <w:t>Information coefficient</w:t>
            </w:r>
          </w:p>
        </w:tc>
        <w:tc>
          <w:tcPr>
            <w:tcW w:type="dxa" w:w="4896"/>
            <w:vAlign w:val="center"/>
          </w:tcPr>
          <w:p>
            <w:r>
              <w:t>Measures correlation between forecast and realized return</w:t>
            </w:r>
          </w:p>
        </w:tc>
      </w:tr>
      <w:tr>
        <w:tc>
          <w:tcPr>
            <w:tcW w:type="dxa" w:w="4896"/>
            <w:vAlign w:val="center"/>
          </w:tcPr>
          <w:p>
            <w:r>
              <w:t>Rank IC</w:t>
            </w:r>
          </w:p>
        </w:tc>
        <w:tc>
          <w:tcPr>
            <w:tcW w:type="dxa" w:w="4896"/>
            <w:vAlign w:val="center"/>
          </w:tcPr>
          <w:p>
            <w:r>
              <w:t>Measures cross-sectional/ordinal signal quality where applicable</w:t>
            </w:r>
          </w:p>
        </w:tc>
      </w:tr>
      <w:tr>
        <w:tc>
          <w:tcPr>
            <w:tcW w:type="dxa" w:w="4896"/>
            <w:vAlign w:val="center"/>
          </w:tcPr>
          <w:p>
            <w:r>
              <w:t>MSE / MAE</w:t>
            </w:r>
          </w:p>
        </w:tc>
        <w:tc>
          <w:tcPr>
            <w:tcW w:type="dxa" w:w="4896"/>
            <w:vAlign w:val="center"/>
          </w:tcPr>
          <w:p>
            <w:r>
              <w:t>Measures numerical forecast error</w:t>
            </w:r>
          </w:p>
        </w:tc>
      </w:tr>
      <w:tr>
        <w:tc>
          <w:tcPr>
            <w:tcW w:type="dxa" w:w="4896"/>
            <w:vAlign w:val="center"/>
          </w:tcPr>
          <w:p>
            <w:r>
              <w:t>Economic return after costs</w:t>
            </w:r>
          </w:p>
        </w:tc>
        <w:tc>
          <w:tcPr>
            <w:tcW w:type="dxa" w:w="4896"/>
            <w:vAlign w:val="center"/>
          </w:tcPr>
          <w:p>
            <w:r>
              <w:t>Tests practical usefulness</w:t>
            </w:r>
          </w:p>
        </w:tc>
      </w:tr>
      <w:tr>
        <w:tc>
          <w:tcPr>
            <w:tcW w:type="dxa" w:w="4896"/>
            <w:vAlign w:val="center"/>
          </w:tcPr>
          <w:p>
            <w:r>
              <w:t>Maximum drawdown</w:t>
            </w:r>
          </w:p>
        </w:tc>
        <w:tc>
          <w:tcPr>
            <w:tcW w:type="dxa" w:w="4896"/>
            <w:vAlign w:val="center"/>
          </w:tcPr>
          <w:p>
            <w:r>
              <w:t>Measures downside path risk</w:t>
            </w:r>
          </w:p>
        </w:tc>
      </w:tr>
      <w:tr>
        <w:tc>
          <w:tcPr>
            <w:tcW w:type="dxa" w:w="4896"/>
            <w:vAlign w:val="center"/>
          </w:tcPr>
          <w:p>
            <w:r>
              <w:t>Turnover</w:t>
            </w:r>
          </w:p>
        </w:tc>
        <w:tc>
          <w:tcPr>
            <w:tcW w:type="dxa" w:w="4896"/>
            <w:vAlign w:val="center"/>
          </w:tcPr>
          <w:p>
            <w:r>
              <w:t>Measures trading intensity and cost sensitivity</w:t>
            </w:r>
          </w:p>
        </w:tc>
      </w:tr>
    </w:tbl>
    <w:p/>
    <w:p>
      <w:pPr>
        <w:pStyle w:val="Heading1"/>
      </w:pPr>
      <w:r>
        <w:t>13. Falsification and Robustness Tests</w:t>
      </w:r>
    </w:p>
    <w:p>
      <w:pPr>
        <w:pStyle w:val="ListBullet"/>
      </w:pPr>
      <w:r>
        <w:t>Compare MBB against momentum without velocity and acceleration.</w:t>
      </w:r>
    </w:p>
    <w:p>
      <w:pPr>
        <w:pStyle w:val="ListBullet"/>
      </w:pPr>
      <w:r>
        <w:t>Compare MBB against ordinary price regression slope.</w:t>
      </w:r>
    </w:p>
    <w:p>
      <w:pPr>
        <w:pStyle w:val="ListBullet"/>
      </w:pPr>
      <w:r>
        <w:t>Control for volatility and recent return magnitude.</w:t>
      </w:r>
    </w:p>
    <w:p>
      <w:pPr>
        <w:pStyle w:val="ListBullet"/>
      </w:pPr>
      <w:r>
        <w:t>Test multiple forecast horizons without selecting the best one after the fact.</w:t>
      </w:r>
    </w:p>
    <w:p>
      <w:pPr>
        <w:pStyle w:val="ListBullet"/>
      </w:pPr>
      <w:r>
        <w:t>Repeat across assets with different market structures.</w:t>
      </w:r>
    </w:p>
    <w:p>
      <w:pPr>
        <w:pStyle w:val="ListBullet"/>
      </w:pPr>
      <w:r>
        <w:t>Run parameter perturbation tests to determine whether performance depends on a narrow parameter point.</w:t>
      </w:r>
    </w:p>
    <w:p>
      <w:pPr>
        <w:pStyle w:val="ListBullet"/>
      </w:pPr>
      <w:r>
        <w:t>Run subperiod tests, including high- and low-volatility regimes.</w:t>
      </w:r>
    </w:p>
    <w:p>
      <w:pPr>
        <w:pStyle w:val="ListBullet"/>
      </w:pPr>
      <w:r>
        <w:t>Use block bootstrap or other dependence-aware resampling rather than naive IID bootstrap.</w:t>
      </w:r>
    </w:p>
    <w:p>
      <w:pPr>
        <w:pStyle w:val="ListBullet"/>
      </w:pPr>
      <w:r>
        <w:t>Apply a multiple-testing/data-snooping correction when many configurations are examined.</w:t>
      </w:r>
    </w:p>
    <w:p>
      <w:pPr>
        <w:pStyle w:val="ListBullet"/>
      </w:pPr>
      <w:r>
        <w:t>Include realistic spread, slippage and turnover assumptions for any strategy-level test.</w:t>
      </w:r>
    </w:p>
    <w:p>
      <w:pPr>
        <w:pStyle w:val="Heading1"/>
      </w:pPr>
      <w:r>
        <w:t>14. Leakage Controls</w:t>
      </w:r>
    </w:p>
    <w:p>
      <w:pPr>
        <w:pStyle w:val="ListBullet"/>
      </w:pPr>
      <w:r>
        <w:t>No future bars may enter feature calculations.</w:t>
      </w:r>
    </w:p>
    <w:p>
      <w:pPr>
        <w:pStyle w:val="ListBullet"/>
      </w:pPr>
      <w:r>
        <w:t>Signal at bar t must only use data available at or before t.</w:t>
      </w:r>
    </w:p>
    <w:p>
      <w:pPr>
        <w:pStyle w:val="ListBullet"/>
      </w:pPr>
      <w:r>
        <w:t>If the signal is generated at close, execution cannot occur at the same close unless that execution convention is explicitly justified.</w:t>
      </w:r>
    </w:p>
    <w:p>
      <w:pPr>
        <w:pStyle w:val="ListBullet"/>
      </w:pPr>
      <w:r>
        <w:t>Rolling normalization must use historical observations only.</w:t>
      </w:r>
    </w:p>
    <w:p>
      <w:pPr>
        <w:pStyle w:val="ListBullet"/>
      </w:pPr>
      <w:r>
        <w:t>Parameter fitting must be performed inside the training window.</w:t>
      </w:r>
    </w:p>
    <w:p>
      <w:pPr>
        <w:pStyle w:val="ListBullet"/>
      </w:pPr>
      <w:r>
        <w:t>Any threshold calibration must be frozen before final testing.</w:t>
      </w:r>
    </w:p>
    <w:p>
      <w:pPr>
        <w:pStyle w:val="Heading1"/>
      </w:pPr>
      <w:r>
        <w:t>15. Data-Snooping Risk</w:t>
      </w:r>
    </w:p>
    <w:p>
      <w:r>
        <w:t>The parameter space can explode quickly: momentum lookbacks, derivative intervals, regression windows, forecast horizons, thresholds, volatility normalizers and regime filters can generate thousands of candidate configurations. A high-performing backtest selected from that search space is not persuasive unless the search process itself is accounted for.</w:t>
      </w:r>
    </w:p>
    <w:p>
      <w:r>
        <w:t>The preferred workflow is therefore: hypothesis → pre-specified experiment → training/validation → frozen model → untouched test → robustness analysis.</w:t>
      </w:r>
    </w:p>
    <w:p>
      <w:pPr>
        <w:pStyle w:val="Heading1"/>
      </w:pPr>
      <w:r>
        <w:t>16. Data Sources Identified for Validation</w:t>
      </w:r>
    </w:p>
    <w:p>
      <w:r>
        <w:t>The web review identified several usable data sources. The EUR/USD source reviewed provides OHLCV data with multiple timeframes and a 2022–2026 full archive, while free GitHub samples provide 1-hour evaluation data. Gold and silver repositories similarly expose 1-hour samples and describe longer full archives. A separate public Bitcoin repository contains cleaned hourly OHLC data from 2015 through September 2025.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DEDED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3264"/>
            <w:vAlign w:val="center"/>
            <w:shd w:fill="EDEDED"/>
          </w:tcPr>
          <w:p>
            <w:r>
              <w:rPr>
                <w:b/>
              </w:rPr>
              <w:t>Observed availability in web review</w:t>
            </w:r>
          </w:p>
        </w:tc>
        <w:tc>
          <w:tcPr>
            <w:tcW w:type="dxa" w:w="3264"/>
            <w:vAlign w:val="center"/>
            <w:shd w:fill="EDEDED"/>
          </w:tcPr>
          <w:p>
            <w:r>
              <w:rPr>
                <w:b/>
              </w:rPr>
              <w:t>Use in study</w:t>
            </w:r>
          </w:p>
        </w:tc>
      </w:tr>
      <w:tr>
        <w:tc>
          <w:tcPr>
            <w:tcW w:type="dxa" w:w="3264"/>
            <w:vAlign w:val="center"/>
          </w:tcPr>
          <w:p>
            <w:r>
              <w:t>EUR/USD GetData sample</w:t>
            </w:r>
          </w:p>
        </w:tc>
        <w:tc>
          <w:tcPr>
            <w:tcW w:type="dxa" w:w="3264"/>
            <w:vAlign w:val="center"/>
          </w:tcPr>
          <w:p>
            <w:r>
              <w:t>1H sample; broader multi-timeframe archive described</w:t>
            </w:r>
          </w:p>
        </w:tc>
        <w:tc>
          <w:tcPr>
            <w:tcW w:type="dxa" w:w="3264"/>
            <w:vAlign w:val="center"/>
          </w:tcPr>
          <w:p>
            <w:r>
              <w:t>Primary FX test</w:t>
            </w:r>
          </w:p>
        </w:tc>
      </w:tr>
      <w:tr>
        <w:tc>
          <w:tcPr>
            <w:tcW w:type="dxa" w:w="3264"/>
            <w:vAlign w:val="center"/>
          </w:tcPr>
          <w:p>
            <w:r>
              <w:t>XAU/USD GetData sample</w:t>
            </w:r>
          </w:p>
        </w:tc>
        <w:tc>
          <w:tcPr>
            <w:tcW w:type="dxa" w:w="3264"/>
            <w:vAlign w:val="center"/>
          </w:tcPr>
          <w:p>
            <w:r>
              <w:t>1H sample; long full archive described</w:t>
            </w:r>
          </w:p>
        </w:tc>
        <w:tc>
          <w:tcPr>
            <w:tcW w:type="dxa" w:w="3264"/>
            <w:vAlign w:val="center"/>
          </w:tcPr>
          <w:p>
            <w:r>
              <w:t>Gold test</w:t>
            </w:r>
          </w:p>
        </w:tc>
      </w:tr>
      <w:tr>
        <w:tc>
          <w:tcPr>
            <w:tcW w:type="dxa" w:w="3264"/>
            <w:vAlign w:val="center"/>
          </w:tcPr>
          <w:p>
            <w:r>
              <w:t>XAG/USD GetData sample</w:t>
            </w:r>
          </w:p>
        </w:tc>
        <w:tc>
          <w:tcPr>
            <w:tcW w:type="dxa" w:w="3264"/>
            <w:vAlign w:val="center"/>
          </w:tcPr>
          <w:p>
            <w:r>
              <w:t>1H sample; long full archive described</w:t>
            </w:r>
          </w:p>
        </w:tc>
        <w:tc>
          <w:tcPr>
            <w:tcW w:type="dxa" w:w="3264"/>
            <w:vAlign w:val="center"/>
          </w:tcPr>
          <w:p>
            <w:r>
              <w:t>Silver test</w:t>
            </w:r>
          </w:p>
        </w:tc>
      </w:tr>
      <w:tr>
        <w:tc>
          <w:tcPr>
            <w:tcW w:type="dxa" w:w="3264"/>
            <w:vAlign w:val="center"/>
          </w:tcPr>
          <w:p>
            <w:r>
              <w:t>BTC/USD public repository</w:t>
            </w:r>
          </w:p>
        </w:tc>
        <w:tc>
          <w:tcPr>
            <w:tcW w:type="dxa" w:w="3264"/>
            <w:vAlign w:val="center"/>
          </w:tcPr>
          <w:p>
            <w:r>
              <w:t>Hourly data, 2015–2025</w:t>
            </w:r>
          </w:p>
        </w:tc>
        <w:tc>
          <w:tcPr>
            <w:tcW w:type="dxa" w:w="3264"/>
            <w:vAlign w:val="center"/>
          </w:tcPr>
          <w:p>
            <w:r>
              <w:t>Bitcoin test</w:t>
            </w:r>
          </w:p>
        </w:tc>
      </w:tr>
      <w:tr>
        <w:tc>
          <w:tcPr>
            <w:tcW w:type="dxa" w:w="3264"/>
            <w:vAlign w:val="center"/>
          </w:tcPr>
          <w:p>
            <w:r>
              <w:t>AQR TSMOM data</w:t>
            </w:r>
          </w:p>
        </w:tc>
        <w:tc>
          <w:tcPr>
            <w:tcW w:type="dxa" w:w="3264"/>
            <w:vAlign w:val="center"/>
          </w:tcPr>
          <w:p>
            <w:r>
              <w:t>Monthly factor data, 1985 onward</w:t>
            </w:r>
          </w:p>
        </w:tc>
        <w:tc>
          <w:tcPr>
            <w:tcW w:type="dxa" w:w="3264"/>
            <w:vAlign w:val="center"/>
          </w:tcPr>
          <w:p>
            <w:r>
              <w:t>Literature/baseline cross-check, not intraday MBB</w:t>
            </w:r>
          </w:p>
        </w:tc>
      </w:tr>
    </w:tbl>
    <w:p/>
    <w:p>
      <w:r>
        <w:t>Source details are listed in the references. Dataset licenses and provenance must be checked before redistribution or publication of raw data.</w:t>
      </w:r>
    </w:p>
    <w:p>
      <w:pPr>
        <w:pStyle w:val="Heading1"/>
      </w:pPr>
      <w:r>
        <w:t>17. Empirical Validation Status at This Revision</w:t>
      </w:r>
    </w:p>
    <w:p>
      <w:r>
        <w:rPr>
          <w:b/>
        </w:rPr>
        <w:t>Status: PARTIALLY VALIDATED</w:t>
      </w:r>
    </w:p>
    <w:p>
      <w:r>
        <w:t>The literature component is validated: time-series momentum and trend-following have substantial documented evidence across assets and periods. The specific MBB incremental-predictive claim remains an empirical hypothesis.</w:t>
      </w:r>
    </w:p>
    <w:p>
      <w:r>
        <w:t>I attempted to retrieve executable raw OHLCV files for the proposed cross-asset test, but the execution environment could not resolve the external raw-data host. Because the raw observations were not actually available to the analysis runtime, this document intentionally does not fabricate accuracy, Sharpe, drawdown, p-values, or regression coefficients. Those numbers must come from the actual data.</w:t>
      </w:r>
    </w:p>
    <w:p>
      <w:r>
        <w:t>This distinction is important: a research paper containing invented backtest statistics is not a research paper. It is fan fiction wearing statistics.</w:t>
      </w:r>
    </w:p>
    <w:p>
      <w:pPr>
        <w:pStyle w:val="Heading1"/>
      </w:pPr>
      <w:r>
        <w:t>18. What Counts as Confirmation</w:t>
      </w:r>
    </w:p>
    <w:p>
      <w:r>
        <w:t>MBB should be considered supported only if the following pattern is observed consistently:</w:t>
      </w:r>
    </w:p>
    <w:p>
      <w:pPr>
        <w:pStyle w:val="ListBullet"/>
      </w:pPr>
      <w:r>
        <w:t>V and/or A remain significant after controlling for M and standard trend measures.</w:t>
      </w:r>
    </w:p>
    <w:p>
      <w:pPr>
        <w:pStyle w:val="ListBullet"/>
      </w:pPr>
      <w:r>
        <w:t>The incremental predictive relationship survives chronological out-of-sample testing.</w:t>
      </w:r>
    </w:p>
    <w:p>
      <w:pPr>
        <w:pStyle w:val="ListBullet"/>
      </w:pPr>
      <w:r>
        <w:t>The effect is not concentrated in one narrow parameter setting.</w:t>
      </w:r>
    </w:p>
    <w:p>
      <w:pPr>
        <w:pStyle w:val="ListBullet"/>
      </w:pPr>
      <w:r>
        <w:t>The effect appears across more than one asset or market regime.</w:t>
      </w:r>
    </w:p>
    <w:p>
      <w:pPr>
        <w:pStyle w:val="ListBullet"/>
      </w:pPr>
      <w:r>
        <w:t>The relationship remains economically meaningful after realistic transaction costs.</w:t>
      </w:r>
    </w:p>
    <w:p>
      <w:pPr>
        <w:pStyle w:val="ListBullet"/>
      </w:pPr>
      <w:r>
        <w:t>The effect survives reasonable data-snooping controls.</w:t>
      </w:r>
    </w:p>
    <w:p>
      <w:r>
        <w:t>A result that appears only in one asset, one timeframe and one highly optimized configuration should be treated as a hypothesis-generating observation, not a validated anomaly.</w:t>
      </w:r>
    </w:p>
    <w:p>
      <w:pPr>
        <w:pStyle w:val="Heading1"/>
      </w:pPr>
      <w:r>
        <w:t>19. Stronger Research Extensions</w:t>
      </w:r>
    </w:p>
    <w:p>
      <w:pPr>
        <w:pStyle w:val="ListBullet"/>
      </w:pPr>
      <w:r>
        <w:t>Use a state-space or Kalman-filter estimate of momentum slope instead of raw finite differences.</w:t>
      </w:r>
    </w:p>
    <w:p>
      <w:pPr>
        <w:pStyle w:val="ListBullet"/>
      </w:pPr>
      <w:r>
        <w:t>Compare polynomial trajectory fits with splines and robust regression.</w:t>
      </w:r>
    </w:p>
    <w:p>
      <w:pPr>
        <w:pStyle w:val="ListBullet"/>
      </w:pPr>
      <w:r>
        <w:t>Estimate the probability of continuation rather than predicting exact return.</w:t>
      </w:r>
    </w:p>
    <w:p>
      <w:pPr>
        <w:pStyle w:val="ListBullet"/>
      </w:pPr>
      <w:r>
        <w:t>Model MBB as a hidden-state regime process.</w:t>
      </w:r>
    </w:p>
    <w:p>
      <w:pPr>
        <w:pStyle w:val="ListBullet"/>
      </w:pPr>
      <w:r>
        <w:t>Test whether momentum build-up predicts trend duration rather than only next-bar direction.</w:t>
      </w:r>
    </w:p>
    <w:p>
      <w:pPr>
        <w:pStyle w:val="ListBullet"/>
      </w:pPr>
      <w:r>
        <w:t>Examine whether acceleration is more useful near zero momentum than during mature trends.</w:t>
      </w:r>
    </w:p>
    <w:p>
      <w:pPr>
        <w:pStyle w:val="ListBullet"/>
      </w:pPr>
      <w:r>
        <w:t>Use volatility-normalized slope and acceleration to compare instruments.</w:t>
      </w:r>
    </w:p>
    <w:p>
      <w:pPr>
        <w:pStyle w:val="ListBullet"/>
      </w:pPr>
      <w:r>
        <w:t>Test multi-timeframe MBB, where lower-timeframe momentum build-up is conditioned on higher-timeframe regime.</w:t>
      </w:r>
    </w:p>
    <w:p>
      <w:pPr>
        <w:pStyle w:val="ListBullet"/>
      </w:pPr>
      <w:r>
        <w:t>Test multi-asset confirmation, where simultaneous build-up across EUR/USD, gold and silver is treated as a joint state.</w:t>
      </w:r>
    </w:p>
    <w:p>
      <w:pPr>
        <w:pStyle w:val="ListBullet"/>
      </w:pPr>
      <w:r>
        <w:t>Compare classical statistical models with tree-based models only after the classical hypothesis is independently tested.</w:t>
      </w:r>
    </w:p>
    <w:p>
      <w:pPr>
        <w:pStyle w:val="Heading1"/>
      </w:pPr>
      <w:r>
        <w:t>20. Multi-Timeframe Extension</w:t>
      </w:r>
    </w:p>
    <w:p>
      <w:r>
        <w:t>A particularly promising extension is to construct MBB states at several resolutions:</w:t>
      </w:r>
    </w:p>
    <w:p>
      <w:r>
        <w:t>MBB₁₅m, MBB₁h, MBB₄h, MBB₁d</w:t>
      </w:r>
    </w:p>
    <w:p>
      <w:r>
        <w:t>A multi-timeframe state could then be represented as:</w:t>
      </w:r>
    </w:p>
    <w:p>
      <w:r>
        <w:t>Sₜ = [MBB₁₅m, MBB₁h, MBB₄h, MBB₁d]</w:t>
      </w:r>
    </w:p>
    <w:p>
      <w:r>
        <w:t>The research question becomes whether alignment of momentum build-up across timeframes provides more information than a single timeframe. This must be tested as an additional hypothesis, not assumed to work.</w:t>
      </w:r>
    </w:p>
    <w:p>
      <w:pPr>
        <w:pStyle w:val="Heading1"/>
      </w:pPr>
      <w:r>
        <w:t>21. Multi-Asset Extension</w:t>
      </w:r>
    </w:p>
    <w:p>
      <w:r>
        <w:t>A second extension is to test whether synchronized momentum development across related instruments contains information. For example, gold and silver may exhibit related directional behavior, while EUR/USD can provide a different macro-sensitive signal. The correct test is not visual correlation but whether the joint state improves out-of-sample prediction after controlling for each asset's own history.</w:t>
      </w:r>
    </w:p>
    <w:p>
      <w:pPr>
        <w:pStyle w:val="Heading1"/>
      </w:pPr>
      <w:r>
        <w:t>22. Reproducible Experiment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DEDED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896"/>
            <w:vAlign w:val="center"/>
            <w:shd w:fill="EDEDED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4896"/>
            <w:vAlign w:val="center"/>
          </w:tcPr>
          <w:p>
            <w:r>
              <w:t>Features</w:t>
            </w:r>
          </w:p>
        </w:tc>
        <w:tc>
          <w:tcPr>
            <w:tcW w:type="dxa" w:w="4896"/>
            <w:vAlign w:val="center"/>
          </w:tcPr>
          <w:p>
            <w:r>
              <w:t>M, V, A, local slope, R², volatility</w:t>
            </w:r>
          </w:p>
        </w:tc>
      </w:tr>
      <w:tr>
        <w:tc>
          <w:tcPr>
            <w:tcW w:type="dxa" w:w="4896"/>
            <w:vAlign w:val="center"/>
          </w:tcPr>
          <w:p>
            <w:r>
              <w:t>Baselines</w:t>
            </w:r>
          </w:p>
        </w:tc>
        <w:tc>
          <w:tcPr>
            <w:tcW w:type="dxa" w:w="4896"/>
            <w:vAlign w:val="center"/>
          </w:tcPr>
          <w:p>
            <w:r>
              <w:t>return persistence, momentum, MA trend, price slope</w:t>
            </w:r>
          </w:p>
        </w:tc>
      </w:tr>
      <w:tr>
        <w:tc>
          <w:tcPr>
            <w:tcW w:type="dxa" w:w="4896"/>
            <w:vAlign w:val="center"/>
          </w:tcPr>
          <w:p>
            <w:r>
              <w:t>Assets</w:t>
            </w:r>
          </w:p>
        </w:tc>
        <w:tc>
          <w:tcPr>
            <w:tcW w:type="dxa" w:w="4896"/>
            <w:vAlign w:val="center"/>
          </w:tcPr>
          <w:p>
            <w:r>
              <w:t>EURUSD, BTCUSD, XAUUSD, XAGUSD, equity index</w:t>
            </w:r>
          </w:p>
        </w:tc>
      </w:tr>
      <w:tr>
        <w:tc>
          <w:tcPr>
            <w:tcW w:type="dxa" w:w="4896"/>
            <w:vAlign w:val="center"/>
          </w:tcPr>
          <w:p>
            <w:r>
              <w:t>Timeframes</w:t>
            </w:r>
          </w:p>
        </w:tc>
        <w:tc>
          <w:tcPr>
            <w:tcW w:type="dxa" w:w="4896"/>
            <w:vAlign w:val="center"/>
          </w:tcPr>
          <w:p>
            <w:r>
              <w:t>15m, 1h, 4h, 1d where data permit</w:t>
            </w:r>
          </w:p>
        </w:tc>
      </w:tr>
      <w:tr>
        <w:tc>
          <w:tcPr>
            <w:tcW w:type="dxa" w:w="4896"/>
            <w:vAlign w:val="center"/>
          </w:tcPr>
          <w:p>
            <w:r>
              <w:t>Validation</w:t>
            </w:r>
          </w:p>
        </w:tc>
        <w:tc>
          <w:tcPr>
            <w:tcW w:type="dxa" w:w="4896"/>
            <w:vAlign w:val="center"/>
          </w:tcPr>
          <w:p>
            <w:r>
              <w:t>walk-forward chronological validation</w:t>
            </w:r>
          </w:p>
        </w:tc>
      </w:tr>
      <w:tr>
        <w:tc>
          <w:tcPr>
            <w:tcW w:type="dxa" w:w="4896"/>
            <w:vAlign w:val="center"/>
          </w:tcPr>
          <w:p>
            <w:r>
              <w:t>Primary target</w:t>
            </w:r>
          </w:p>
        </w:tc>
        <w:tc>
          <w:tcPr>
            <w:tcW w:type="dxa" w:w="4896"/>
            <w:vAlign w:val="center"/>
          </w:tcPr>
          <w:p>
            <w:r>
              <w:t>future return sign and standardized return</w:t>
            </w:r>
          </w:p>
        </w:tc>
      </w:tr>
      <w:tr>
        <w:tc>
          <w:tcPr>
            <w:tcW w:type="dxa" w:w="4896"/>
            <w:vAlign w:val="center"/>
          </w:tcPr>
          <w:p>
            <w:r>
              <w:t>Secondary target</w:t>
            </w:r>
          </w:p>
        </w:tc>
        <w:tc>
          <w:tcPr>
            <w:tcW w:type="dxa" w:w="4896"/>
            <w:vAlign w:val="center"/>
          </w:tcPr>
          <w:p>
            <w:r>
              <w:t>future return magnitude / continuation</w:t>
            </w:r>
          </w:p>
        </w:tc>
      </w:tr>
      <w:tr>
        <w:tc>
          <w:tcPr>
            <w:tcW w:type="dxa" w:w="4896"/>
            <w:vAlign w:val="center"/>
          </w:tcPr>
          <w:p>
            <w:r>
              <w:t>Costs</w:t>
            </w:r>
          </w:p>
        </w:tc>
        <w:tc>
          <w:tcPr>
            <w:tcW w:type="dxa" w:w="4896"/>
            <w:vAlign w:val="center"/>
          </w:tcPr>
          <w:p>
            <w:r>
              <w:t>spread + slippage + turnover sensitivity</w:t>
            </w:r>
          </w:p>
        </w:tc>
      </w:tr>
      <w:tr>
        <w:tc>
          <w:tcPr>
            <w:tcW w:type="dxa" w:w="4896"/>
            <w:vAlign w:val="center"/>
          </w:tcPr>
          <w:p>
            <w:r>
              <w:t>Robustness</w:t>
            </w:r>
          </w:p>
        </w:tc>
        <w:tc>
          <w:tcPr>
            <w:tcW w:type="dxa" w:w="4896"/>
            <w:vAlign w:val="center"/>
          </w:tcPr>
          <w:p>
            <w:r>
              <w:t>subperiods, parameter perturbation, bootstrap</w:t>
            </w:r>
          </w:p>
        </w:tc>
      </w:tr>
      <w:tr>
        <w:tc>
          <w:tcPr>
            <w:tcW w:type="dxa" w:w="4896"/>
            <w:vAlign w:val="center"/>
          </w:tcPr>
          <w:p>
            <w:r>
              <w:t>Final test</w:t>
            </w:r>
          </w:p>
        </w:tc>
        <w:tc>
          <w:tcPr>
            <w:tcW w:type="dxa" w:w="4896"/>
            <w:vAlign w:val="center"/>
          </w:tcPr>
          <w:p>
            <w:r>
              <w:t>untouched and evaluated once after model freeze</w:t>
            </w:r>
          </w:p>
        </w:tc>
      </w:tr>
    </w:tbl>
    <w:p/>
    <w:p>
      <w:pPr>
        <w:pStyle w:val="Heading1"/>
      </w:pPr>
      <w:r>
        <w:t>23. Minimal Implementation Pseudocode</w:t>
      </w:r>
    </w:p>
    <w:p>
      <w:r>
        <w:rPr>
          <w:rFonts w:ascii="Courier New" w:hAnsi="Courier New"/>
          <w:sz w:val="17"/>
        </w:rPr>
        <w:t>for each asset:</w:t>
        <w:br/>
        <w:t xml:space="preserve">    load OHLCV</w:t>
        <w:br/>
        <w:t xml:space="preserve">    sort chronologically</w:t>
        <w:br/>
        <w:t xml:space="preserve">    compute log_returns</w:t>
        <w:br/>
        <w:br/>
        <w:t xml:space="preserve">    for each timeframe:</w:t>
        <w:br/>
        <w:t xml:space="preserve">        construct normalized momentum M</w:t>
        <w:br/>
        <w:t xml:space="preserve">        compute V = M - M.shift(k)</w:t>
        <w:br/>
        <w:t xml:space="preserve">        compute A = V - V.shift(k)</w:t>
        <w:br/>
        <w:t xml:space="preserve">        compute rolling trend slope and R2</w:t>
        <w:br/>
        <w:t xml:space="preserve">        compute rolling volatility</w:t>
        <w:br/>
        <w:br/>
        <w:t xml:space="preserve">        create future target r[t+h]</w:t>
        <w:br/>
        <w:br/>
        <w:t xml:space="preserve">        fit baseline models inside training window</w:t>
        <w:br/>
        <w:t xml:space="preserve">        fit MBB models inside training window</w:t>
        <w:br/>
        <w:br/>
        <w:t xml:space="preserve">        generate predictions only for the next unseen period</w:t>
        <w:br/>
        <w:br/>
        <w:t xml:space="preserve">        record:</w:t>
        <w:br/>
        <w:t xml:space="preserve">            directional accuracy</w:t>
        <w:br/>
        <w:t xml:space="preserve">            IC / Rank IC</w:t>
        <w:br/>
        <w:t xml:space="preserve">            forecast error</w:t>
        <w:br/>
        <w:t xml:space="preserve">            turnover</w:t>
        <w:br/>
        <w:t xml:space="preserve">            cost-adjusted strategy statistics</w:t>
        <w:br/>
        <w:br/>
        <w:t xml:space="preserve">    roll the training/test boundary forward</w:t>
        <w:br/>
        <w:br/>
        <w:t>aggregate results across:</w:t>
        <w:br/>
        <w:t xml:space="preserve">    assets</w:t>
        <w:br/>
        <w:t xml:space="preserve">    timeframes</w:t>
        <w:br/>
        <w:t xml:space="preserve">    horizons</w:t>
        <w:br/>
        <w:t xml:space="preserve">    subperiods</w:t>
        <w:br/>
      </w:r>
    </w:p>
    <w:p>
      <w:pPr>
        <w:pStyle w:val="Heading1"/>
      </w:pPr>
      <w:r>
        <w:t>24. Expected Paper Contribution if Confirmed</w:t>
      </w:r>
    </w:p>
    <w:p>
      <w:r>
        <w:t>If the empirical tests support the hypothesis, the paper's contribution should be framed narrowly: momentum trajectory variables may provide incremental information beyond momentum level and standard trend filters. The paper should avoid claiming a new universal market law. The stronger contribution would be evidence that momentum formation itself has measurable temporal structure.</w:t>
      </w:r>
    </w:p>
    <w:p>
      <w:pPr>
        <w:pStyle w:val="Heading1"/>
      </w:pPr>
      <w:r>
        <w:t>25. Expected Paper Contribution if Rejected</w:t>
      </w:r>
    </w:p>
    <w:p>
      <w:r>
        <w:t>If the acceleration terms fail to add predictive value, the result is still informative. It would show that apparent momentum build-up can often be represented by conventional momentum or trend slope, preventing unnecessary complexity in the model.</w:t>
      </w:r>
    </w:p>
    <w:p>
      <w:pPr>
        <w:pStyle w:val="Heading1"/>
      </w:pPr>
      <w:r>
        <w:t>26. Conclusion</w:t>
      </w:r>
    </w:p>
    <w:p>
      <w:r>
        <w:t>Momentum Bar Build-Up is a coherent, falsifiable research hypothesis. The existing literature strongly supports the existence of time-series momentum and trend-following effects, but that does not validate MBB itself. The critical experiment is an incremental-information test: does momentum velocity and acceleration predict future returns after current momentum, volatility and conventional trend slope are already known?</w:t>
      </w:r>
    </w:p>
    <w:p>
      <w:r>
        <w:t>The proposed validation architecture is deliberately hostile to false discoveries: chronological walk-forward testing, ablation studies, multiple baselines, parameter-stability checks, realistic costs and data-snooping controls. This is the standard required to turn an interesting trading idea into a defensible quantitative research result.</w:t>
      </w:r>
    </w:p>
    <w:p>
      <w:pPr>
        <w:pStyle w:val="Heading1"/>
      </w:pPr>
      <w:r>
        <w:t>References and Data Sources</w:t>
      </w:r>
    </w:p>
    <w:p>
      <w:r>
        <w:rPr>
          <w:b/>
        </w:rPr>
        <w:t xml:space="preserve">[1] </w:t>
      </w:r>
      <w:r>
        <w:t>Moskowitz, T. J., Ooi, Y. H., &amp; Pedersen, L. H. (2012/2014). Time Series Momentum. Journal of Financial Economics, 104(2), 228–250. AQR research page: https://www.aqr.com/Insights/Research/Journal-Article/Time-Series-Momentum</w:t>
      </w:r>
    </w:p>
    <w:p>
      <w:r>
        <w:rPr>
          <w:b/>
        </w:rPr>
        <w:t xml:space="preserve">[2] </w:t>
      </w:r>
      <w:r>
        <w:t>Hurst, B. K., Ooi, Y. H., &amp; Pedersen, L. H. (2017/2020). A Century of Evidence on Trend-Following Investing. AQR / Journal of Portfolio Management. https://www.aqr.com/insights/research/journal-article/a-century-of-evidence-on-trend-following-investing</w:t>
      </w:r>
    </w:p>
    <w:p>
      <w:r>
        <w:rPr>
          <w:b/>
        </w:rPr>
        <w:t xml:space="preserve">[3] </w:t>
      </w:r>
      <w:r>
        <w:t>Babu, A., Levine, A., Ooi, Y. H., Pedersen, L. H., &amp; Stamelos, E. (2020). Trends Everywhere. AQR. https://www.aqr.com/insights/research/journal-article/trends-everywhere</w:t>
      </w:r>
    </w:p>
    <w:p>
      <w:r>
        <w:rPr>
          <w:b/>
        </w:rPr>
        <w:t xml:space="preserve">[4] </w:t>
      </w:r>
      <w:r>
        <w:t>Levine, A. &amp; Pedersen, L. H. (2016). Which Trend Is Your Friend? AQR. https://www.aqr.com/Insights/Research/Journal-Article/Which-Trend-Is-Your-Friend</w:t>
      </w:r>
    </w:p>
    <w:p>
      <w:r>
        <w:rPr>
          <w:b/>
        </w:rPr>
        <w:t xml:space="preserve">[5] </w:t>
      </w:r>
      <w:r>
        <w:t>AQR. Time Series Momentum: Original Paper Data. https://www.aqr.com/Insights/Datasets/Time-Series-Momentum-Original-Paper-Data</w:t>
      </w:r>
    </w:p>
    <w:p>
      <w:r>
        <w:rPr>
          <w:b/>
        </w:rPr>
        <w:t xml:space="preserve">[6] </w:t>
      </w:r>
      <w:r>
        <w:t>AQR. Time Series Momentum: Factors, Monthly. Updated May 2026. https://www.aqr.com/Insights/Datasets/Time-Series-Momentum-Factors-Monthly</w:t>
      </w:r>
    </w:p>
    <w:p>
      <w:r>
        <w:rPr>
          <w:b/>
        </w:rPr>
        <w:t xml:space="preserve">[7] </w:t>
      </w:r>
      <w:r>
        <w:t>GetData Finance. EUR/USD historical OHLCV dataset and 1H GitHub sample. https://getdata.finance/datasets/eurusd and https://github.com/getdata-finance/eurusd-1h-ohlcv-forex-historical-data</w:t>
      </w:r>
    </w:p>
    <w:p>
      <w:r>
        <w:rPr>
          <w:b/>
        </w:rPr>
        <w:t xml:space="preserve">[8] </w:t>
      </w:r>
      <w:r>
        <w:t>GetData Finance. XAU/USD 1H historical OHLCV sample. https://github.com/getdata-finance/xauusd-1h-ohlcv-metals-historical-data</w:t>
      </w:r>
    </w:p>
    <w:p>
      <w:r>
        <w:rPr>
          <w:b/>
        </w:rPr>
        <w:t xml:space="preserve">[9] </w:t>
      </w:r>
      <w:r>
        <w:t>GetData Finance. XAG/USD 1H historical OHLCV sample. https://github.com/getdata-finance/xagusd-1h-ohlcv-metals-historical-data</w:t>
      </w:r>
    </w:p>
    <w:p>
      <w:r>
        <w:rPr>
          <w:b/>
        </w:rPr>
        <w:t xml:space="preserve">[10] </w:t>
      </w:r>
      <w:r>
        <w:t>Julian-Andres-Thomas. BTC-USD hourly cleaned historical dataset, 2015–2025. https://github.com/Julian-Andres-Thomas/BTC-USD</w:t>
      </w:r>
    </w:p>
    <w:p>
      <w:pPr>
        <w:pStyle w:val="Heading1"/>
      </w:pPr>
      <w:r>
        <w:t>Appendix A. Required Final Empirical Tables</w:t>
      </w:r>
    </w:p>
    <w:p>
      <w:r>
        <w:t>The final empirical run should populate the following tables. They are intentionally left as templates rather than filled with fabricated statistics.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  <w:vAlign w:val="center"/>
            <w:shd w:fill="EDEDED"/>
          </w:tcPr>
          <w:p>
            <w:r>
              <w:rPr>
                <w:b/>
              </w:rPr>
              <w:t>Asset</w:t>
            </w:r>
          </w:p>
        </w:tc>
        <w:tc>
          <w:tcPr>
            <w:tcW w:type="dxa" w:w="1088"/>
            <w:vAlign w:val="center"/>
            <w:shd w:fill="EDEDED"/>
          </w:tcPr>
          <w:p>
            <w:r>
              <w:rPr>
                <w:b/>
              </w:rPr>
              <w:t>TF</w:t>
            </w:r>
          </w:p>
        </w:tc>
        <w:tc>
          <w:tcPr>
            <w:tcW w:type="dxa" w:w="1088"/>
            <w:vAlign w:val="center"/>
            <w:shd w:fill="EDEDED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088"/>
            <w:vAlign w:val="center"/>
            <w:shd w:fill="EDEDED"/>
          </w:tcPr>
          <w:p>
            <w:r>
              <w:rPr>
                <w:b/>
              </w:rPr>
              <w:t>N</w:t>
            </w:r>
          </w:p>
        </w:tc>
        <w:tc>
          <w:tcPr>
            <w:tcW w:type="dxa" w:w="1088"/>
            <w:vAlign w:val="center"/>
            <w:shd w:fill="EDEDED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088"/>
            <w:vAlign w:val="center"/>
            <w:shd w:fill="EDEDED"/>
          </w:tcPr>
          <w:p>
            <w:r>
              <w:rPr>
                <w:b/>
              </w:rPr>
              <w:t>IC</w:t>
            </w:r>
          </w:p>
        </w:tc>
        <w:tc>
          <w:tcPr>
            <w:tcW w:type="dxa" w:w="1088"/>
            <w:vAlign w:val="center"/>
            <w:shd w:fill="EDEDED"/>
          </w:tcPr>
          <w:p>
            <w:r>
              <w:rPr>
                <w:b/>
              </w:rPr>
              <w:t>Mean return</w:t>
            </w:r>
          </w:p>
        </w:tc>
        <w:tc>
          <w:tcPr>
            <w:tcW w:type="dxa" w:w="1088"/>
            <w:vAlign w:val="center"/>
            <w:shd w:fill="EDEDED"/>
          </w:tcPr>
          <w:p>
            <w:r>
              <w:rPr>
                <w:b/>
              </w:rPr>
              <w:t>Max DD</w:t>
            </w:r>
          </w:p>
        </w:tc>
        <w:tc>
          <w:tcPr>
            <w:tcW w:type="dxa" w:w="1088"/>
            <w:vAlign w:val="center"/>
            <w:shd w:fill="EDEDED"/>
          </w:tcPr>
          <w:p>
            <w:r>
              <w:rPr>
                <w:b/>
              </w:rPr>
              <w:t>Turnover</w:t>
            </w:r>
          </w:p>
        </w:tc>
      </w:tr>
      <w:tr>
        <w:tc>
          <w:tcPr>
            <w:tcW w:type="dxa" w:w="1088"/>
            <w:vAlign w:val="center"/>
          </w:tcPr>
          <w:p>
            <w:r>
              <w:t>EURUSD</w:t>
            </w:r>
          </w:p>
        </w:tc>
        <w:tc>
          <w:tcPr>
            <w:tcW w:type="dxa" w:w="1088"/>
            <w:vAlign w:val="center"/>
          </w:tcPr>
          <w:p>
            <w:r>
              <w:t>1H</w:t>
            </w:r>
          </w:p>
        </w:tc>
        <w:tc>
          <w:tcPr>
            <w:tcW w:type="dxa" w:w="1088"/>
            <w:vAlign w:val="center"/>
          </w:tcPr>
          <w:p>
            <w:r>
              <w:t>B1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</w:tr>
      <w:tr>
        <w:tc>
          <w:tcPr>
            <w:tcW w:type="dxa" w:w="1088"/>
            <w:vAlign w:val="center"/>
          </w:tcPr>
          <w:p>
            <w:r>
              <w:t>EURUSD</w:t>
            </w:r>
          </w:p>
        </w:tc>
        <w:tc>
          <w:tcPr>
            <w:tcW w:type="dxa" w:w="1088"/>
            <w:vAlign w:val="center"/>
          </w:tcPr>
          <w:p>
            <w:r>
              <w:t>1H</w:t>
            </w:r>
          </w:p>
        </w:tc>
        <w:tc>
          <w:tcPr>
            <w:tcW w:type="dxa" w:w="1088"/>
            <w:vAlign w:val="center"/>
          </w:tcPr>
          <w:p>
            <w:r>
              <w:t>B6 MBB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</w:tr>
      <w:tr>
        <w:tc>
          <w:tcPr>
            <w:tcW w:type="dxa" w:w="1088"/>
            <w:vAlign w:val="center"/>
          </w:tcPr>
          <w:p>
            <w:r>
              <w:t>BTCUSD</w:t>
            </w:r>
          </w:p>
        </w:tc>
        <w:tc>
          <w:tcPr>
            <w:tcW w:type="dxa" w:w="1088"/>
            <w:vAlign w:val="center"/>
          </w:tcPr>
          <w:p>
            <w:r>
              <w:t>1H</w:t>
            </w:r>
          </w:p>
        </w:tc>
        <w:tc>
          <w:tcPr>
            <w:tcW w:type="dxa" w:w="1088"/>
            <w:vAlign w:val="center"/>
          </w:tcPr>
          <w:p>
            <w:r>
              <w:t>B1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</w:tr>
      <w:tr>
        <w:tc>
          <w:tcPr>
            <w:tcW w:type="dxa" w:w="1088"/>
            <w:vAlign w:val="center"/>
          </w:tcPr>
          <w:p>
            <w:r>
              <w:t>BTCUSD</w:t>
            </w:r>
          </w:p>
        </w:tc>
        <w:tc>
          <w:tcPr>
            <w:tcW w:type="dxa" w:w="1088"/>
            <w:vAlign w:val="center"/>
          </w:tcPr>
          <w:p>
            <w:r>
              <w:t>1H</w:t>
            </w:r>
          </w:p>
        </w:tc>
        <w:tc>
          <w:tcPr>
            <w:tcW w:type="dxa" w:w="1088"/>
            <w:vAlign w:val="center"/>
          </w:tcPr>
          <w:p>
            <w:r>
              <w:t>B6 MBB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</w:tr>
      <w:tr>
        <w:tc>
          <w:tcPr>
            <w:tcW w:type="dxa" w:w="1088"/>
            <w:vAlign w:val="center"/>
          </w:tcPr>
          <w:p>
            <w:r>
              <w:t>XAUUSD</w:t>
            </w:r>
          </w:p>
        </w:tc>
        <w:tc>
          <w:tcPr>
            <w:tcW w:type="dxa" w:w="1088"/>
            <w:vAlign w:val="center"/>
          </w:tcPr>
          <w:p>
            <w:r>
              <w:t>1H</w:t>
            </w:r>
          </w:p>
        </w:tc>
        <w:tc>
          <w:tcPr>
            <w:tcW w:type="dxa" w:w="1088"/>
            <w:vAlign w:val="center"/>
          </w:tcPr>
          <w:p>
            <w:r>
              <w:t>B1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</w:tr>
      <w:tr>
        <w:tc>
          <w:tcPr>
            <w:tcW w:type="dxa" w:w="1088"/>
            <w:vAlign w:val="center"/>
          </w:tcPr>
          <w:p>
            <w:r>
              <w:t>XAUUSD</w:t>
            </w:r>
          </w:p>
        </w:tc>
        <w:tc>
          <w:tcPr>
            <w:tcW w:type="dxa" w:w="1088"/>
            <w:vAlign w:val="center"/>
          </w:tcPr>
          <w:p>
            <w:r>
              <w:t>1H</w:t>
            </w:r>
          </w:p>
        </w:tc>
        <w:tc>
          <w:tcPr>
            <w:tcW w:type="dxa" w:w="1088"/>
            <w:vAlign w:val="center"/>
          </w:tcPr>
          <w:p>
            <w:r>
              <w:t>B6 MBB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</w:tr>
      <w:tr>
        <w:tc>
          <w:tcPr>
            <w:tcW w:type="dxa" w:w="1088"/>
            <w:vAlign w:val="center"/>
          </w:tcPr>
          <w:p>
            <w:r>
              <w:t>XAGUSD</w:t>
            </w:r>
          </w:p>
        </w:tc>
        <w:tc>
          <w:tcPr>
            <w:tcW w:type="dxa" w:w="1088"/>
            <w:vAlign w:val="center"/>
          </w:tcPr>
          <w:p>
            <w:r>
              <w:t>1H</w:t>
            </w:r>
          </w:p>
        </w:tc>
        <w:tc>
          <w:tcPr>
            <w:tcW w:type="dxa" w:w="1088"/>
            <w:vAlign w:val="center"/>
          </w:tcPr>
          <w:p>
            <w:r>
              <w:t>B1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</w:tr>
      <w:tr>
        <w:tc>
          <w:tcPr>
            <w:tcW w:type="dxa" w:w="1088"/>
            <w:vAlign w:val="center"/>
          </w:tcPr>
          <w:p>
            <w:r>
              <w:t>XAGUSD</w:t>
            </w:r>
          </w:p>
        </w:tc>
        <w:tc>
          <w:tcPr>
            <w:tcW w:type="dxa" w:w="1088"/>
            <w:vAlign w:val="center"/>
          </w:tcPr>
          <w:p>
            <w:r>
              <w:t>1H</w:t>
            </w:r>
          </w:p>
        </w:tc>
        <w:tc>
          <w:tcPr>
            <w:tcW w:type="dxa" w:w="1088"/>
            <w:vAlign w:val="center"/>
          </w:tcPr>
          <w:p>
            <w:r>
              <w:t>B6 MBB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  <w:tc>
          <w:tcPr>
            <w:tcW w:type="dxa" w:w="1088"/>
            <w:vAlign w:val="center"/>
          </w:tcPr>
          <w:p>
            <w:r>
              <w:t>TBD</w:t>
            </w:r>
          </w:p>
        </w:tc>
      </w:tr>
    </w:tbl>
    <w:p/>
    <w:p>
      <w:pPr>
        <w:pStyle w:val="Heading1"/>
      </w:pPr>
      <w:r>
        <w:t>Appendix B. Decision Rule for Scientific Acceptance</w:t>
      </w:r>
    </w:p>
    <w:p>
      <w:r>
        <w:t>Do not accept the MBB hypothesis merely because the strategy makes money. The strongest evidence is incremental predictive power that survives controls, out-of-sample testing, parameter perturbation, cross-asset replication and realistic implementation assumptions.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Momentum Bar Build-Up Research Paper |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