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0F695" w14:textId="77777777" w:rsidR="00B55EF3" w:rsidRPr="004068B6" w:rsidRDefault="00000000">
      <w:pPr>
        <w:spacing w:after="120"/>
        <w:jc w:val="center"/>
        <w:rPr>
          <w:rFonts w:ascii="Palatino Linotype" w:hAnsi="Palatino Linotype"/>
          <w:sz w:val="20"/>
          <w:szCs w:val="20"/>
        </w:rPr>
      </w:pPr>
      <w:r w:rsidRPr="004068B6">
        <w:rPr>
          <w:rFonts w:ascii="Palatino Linotype" w:hAnsi="Palatino Linotype"/>
          <w:b/>
          <w:bCs/>
          <w:sz w:val="20"/>
          <w:szCs w:val="20"/>
        </w:rPr>
        <w:t>POSITION SUMMARY</w:t>
      </w:r>
    </w:p>
    <w:p w14:paraId="1760B1F6" w14:textId="77777777" w:rsidR="00B55EF3" w:rsidRPr="004068B6" w:rsidRDefault="00000000">
      <w:pPr>
        <w:spacing w:after="120"/>
        <w:jc w:val="center"/>
        <w:rPr>
          <w:rFonts w:ascii="Palatino Linotype" w:hAnsi="Palatino Linotype"/>
          <w:sz w:val="20"/>
          <w:szCs w:val="20"/>
        </w:rPr>
      </w:pPr>
      <w:r w:rsidRPr="004068B6">
        <w:rPr>
          <w:rFonts w:ascii="Palatino Linotype" w:hAnsi="Palatino Linotype"/>
          <w:b/>
          <w:bCs/>
          <w:sz w:val="20"/>
          <w:szCs w:val="20"/>
        </w:rPr>
        <w:t>NRG BLOOM INC.</w:t>
      </w:r>
    </w:p>
    <w:p w14:paraId="237A00E7" w14:textId="175BFCFD" w:rsidR="00B55EF3" w:rsidRPr="004068B6" w:rsidRDefault="00000000">
      <w:pPr>
        <w:spacing w:after="120"/>
        <w:jc w:val="center"/>
        <w:rPr>
          <w:rFonts w:ascii="Palatino Linotype" w:hAnsi="Palatino Linotype"/>
          <w:sz w:val="20"/>
          <w:szCs w:val="20"/>
        </w:rPr>
      </w:pPr>
      <w:r w:rsidRPr="004068B6">
        <w:rPr>
          <w:rFonts w:ascii="Palatino Linotype" w:hAnsi="Palatino Linotype"/>
          <w:b/>
          <w:bCs/>
          <w:sz w:val="20"/>
          <w:szCs w:val="20"/>
        </w:rPr>
        <w:t>Date: February 2</w:t>
      </w:r>
      <w:r w:rsidR="003F48D6" w:rsidRPr="004068B6">
        <w:rPr>
          <w:rFonts w:ascii="Palatino Linotype" w:hAnsi="Palatino Linotype"/>
          <w:b/>
          <w:bCs/>
          <w:sz w:val="20"/>
          <w:szCs w:val="20"/>
        </w:rPr>
        <w:t>4</w:t>
      </w:r>
      <w:r w:rsidRPr="004068B6">
        <w:rPr>
          <w:rFonts w:ascii="Palatino Linotype" w:hAnsi="Palatino Linotype"/>
          <w:b/>
          <w:bCs/>
          <w:sz w:val="20"/>
          <w:szCs w:val="20"/>
        </w:rPr>
        <w:t>, 2026</w:t>
      </w:r>
    </w:p>
    <w:p w14:paraId="76B33BD0" w14:textId="77777777" w:rsidR="00922659" w:rsidRDefault="00922659" w:rsidP="004068B6">
      <w:pPr>
        <w:spacing w:after="240"/>
        <w:jc w:val="center"/>
        <w:rPr>
          <w:rFonts w:ascii="Palatino Linotype" w:hAnsi="Palatino Linotype"/>
          <w:b/>
          <w:bCs/>
          <w:color w:val="00B050"/>
          <w:sz w:val="20"/>
          <w:szCs w:val="20"/>
        </w:rPr>
      </w:pPr>
    </w:p>
    <w:p w14:paraId="09E09EBF" w14:textId="4C7D1C4B" w:rsidR="004068B6" w:rsidRPr="004068B6" w:rsidRDefault="00000000" w:rsidP="004068B6">
      <w:pPr>
        <w:spacing w:after="240"/>
        <w:jc w:val="center"/>
        <w:rPr>
          <w:rFonts w:ascii="Palatino Linotype" w:hAnsi="Palatino Linotype"/>
          <w:b/>
          <w:bCs/>
          <w:color w:val="00B050"/>
          <w:sz w:val="20"/>
          <w:szCs w:val="20"/>
        </w:rPr>
      </w:pPr>
      <w:r w:rsidRPr="004068B6">
        <w:rPr>
          <w:rFonts w:ascii="Palatino Linotype" w:hAnsi="Palatino Linotype"/>
          <w:b/>
          <w:bCs/>
          <w:color w:val="00B050"/>
          <w:sz w:val="20"/>
          <w:szCs w:val="20"/>
        </w:rPr>
        <w:t>Marked: WITHOUT PREJUDICE | PRIVILEGED &amp; CONFIDENTIAL</w:t>
      </w:r>
    </w:p>
    <w:p w14:paraId="70A04464" w14:textId="0892FC2A" w:rsidR="00B55EF3" w:rsidRPr="004068B6" w:rsidRDefault="00000000" w:rsidP="004068B6">
      <w:pPr>
        <w:spacing w:after="240"/>
        <w:rPr>
          <w:rFonts w:ascii="Palatino Linotype" w:hAnsi="Palatino Linotype"/>
          <w:color w:val="00B050"/>
          <w:sz w:val="20"/>
          <w:szCs w:val="20"/>
        </w:rPr>
      </w:pPr>
      <w:r w:rsidRPr="004068B6">
        <w:rPr>
          <w:rFonts w:ascii="Palatino Linotype" w:hAnsi="Palatino Linotype"/>
          <w:b/>
          <w:bCs/>
          <w:color w:val="00B050"/>
          <w:sz w:val="20"/>
          <w:szCs w:val="20"/>
        </w:rPr>
        <w:t>EXECUTIVE SUMMARY</w:t>
      </w:r>
    </w:p>
    <w:p w14:paraId="4F6CADAF" w14:textId="77777777" w:rsidR="00B55EF3" w:rsidRPr="004068B6" w:rsidRDefault="00000000">
      <w:pPr>
        <w:spacing w:after="80"/>
        <w:rPr>
          <w:rFonts w:ascii="Palatino Linotype" w:hAnsi="Palatino Linotype"/>
          <w:sz w:val="20"/>
          <w:szCs w:val="20"/>
        </w:rPr>
      </w:pPr>
      <w:r w:rsidRPr="004068B6">
        <w:rPr>
          <w:rFonts w:ascii="Palatino Linotype" w:hAnsi="Palatino Linotype"/>
          <w:sz w:val="20"/>
          <w:szCs w:val="20"/>
        </w:rPr>
        <w:t>NRG Bloom Inc. (“NRG Bloom”) seeks settlement of its claims against TON Infrastructure Ltd. (“TON”) arising from:</w:t>
      </w:r>
    </w:p>
    <w:p w14:paraId="174FE812" w14:textId="77777777" w:rsidR="00B55EF3" w:rsidRPr="004068B6" w:rsidRDefault="00000000">
      <w:pPr>
        <w:numPr>
          <w:ilvl w:val="0"/>
          <w:numId w:val="5"/>
        </w:numPr>
        <w:pBdr>
          <w:top w:val="nil"/>
          <w:left w:val="nil"/>
          <w:bottom w:val="nil"/>
          <w:right w:val="nil"/>
          <w:between w:val="nil"/>
        </w:pBdr>
        <w:spacing w:after="60"/>
        <w:rPr>
          <w:rFonts w:ascii="Palatino Linotype" w:hAnsi="Palatino Linotype"/>
          <w:sz w:val="20"/>
          <w:szCs w:val="20"/>
        </w:rPr>
      </w:pPr>
      <w:r w:rsidRPr="004068B6">
        <w:rPr>
          <w:rFonts w:ascii="Palatino Linotype" w:hAnsi="Palatino Linotype"/>
          <w:color w:val="000000"/>
          <w:sz w:val="20"/>
          <w:szCs w:val="20"/>
        </w:rPr>
        <w:t>The Mutual Non-Disclosure and Non-Circumvention Agreement dated January 10, 2025 (“NDA”);</w:t>
      </w:r>
    </w:p>
    <w:p w14:paraId="6F86B7AE" w14:textId="77777777" w:rsidR="00B55EF3" w:rsidRPr="004068B6" w:rsidRDefault="00000000">
      <w:pPr>
        <w:numPr>
          <w:ilvl w:val="0"/>
          <w:numId w:val="5"/>
        </w:numPr>
        <w:pBdr>
          <w:top w:val="nil"/>
          <w:left w:val="nil"/>
          <w:bottom w:val="nil"/>
          <w:right w:val="nil"/>
          <w:between w:val="nil"/>
        </w:pBdr>
        <w:spacing w:after="60"/>
        <w:rPr>
          <w:rFonts w:ascii="Palatino Linotype" w:hAnsi="Palatino Linotype"/>
          <w:sz w:val="20"/>
          <w:szCs w:val="20"/>
        </w:rPr>
      </w:pPr>
      <w:r w:rsidRPr="004068B6">
        <w:rPr>
          <w:rFonts w:ascii="Palatino Linotype" w:hAnsi="Palatino Linotype"/>
          <w:color w:val="000000"/>
          <w:sz w:val="20"/>
          <w:szCs w:val="20"/>
        </w:rPr>
        <w:t>The Joint Venture Agreement dated February 19, 2025 (“JV Agreement”);</w:t>
      </w:r>
    </w:p>
    <w:p w14:paraId="1E417072" w14:textId="77777777" w:rsidR="00B55EF3" w:rsidRPr="004068B6" w:rsidRDefault="00000000">
      <w:pPr>
        <w:numPr>
          <w:ilvl w:val="0"/>
          <w:numId w:val="5"/>
        </w:numPr>
        <w:pBdr>
          <w:top w:val="nil"/>
          <w:left w:val="nil"/>
          <w:bottom w:val="nil"/>
          <w:right w:val="nil"/>
          <w:between w:val="nil"/>
        </w:pBdr>
        <w:spacing w:after="60"/>
        <w:rPr>
          <w:rFonts w:ascii="Palatino Linotype" w:hAnsi="Palatino Linotype"/>
          <w:sz w:val="20"/>
          <w:szCs w:val="20"/>
        </w:rPr>
      </w:pPr>
      <w:r w:rsidRPr="004068B6">
        <w:rPr>
          <w:rFonts w:ascii="Palatino Linotype" w:hAnsi="Palatino Linotype"/>
          <w:sz w:val="20"/>
          <w:szCs w:val="20"/>
        </w:rPr>
        <w:t>The Site Development &amp; Revenue Sharing Agreement dated April 2, 2025 (“Interim Agreement”)</w:t>
      </w:r>
    </w:p>
    <w:p w14:paraId="4F837DFC" w14:textId="77777777" w:rsidR="00B55EF3" w:rsidRPr="004068B6" w:rsidRDefault="00000000">
      <w:pPr>
        <w:numPr>
          <w:ilvl w:val="0"/>
          <w:numId w:val="5"/>
        </w:numPr>
        <w:pBdr>
          <w:top w:val="nil"/>
          <w:left w:val="nil"/>
          <w:bottom w:val="nil"/>
          <w:right w:val="nil"/>
          <w:between w:val="nil"/>
        </w:pBdr>
        <w:spacing w:after="60"/>
        <w:rPr>
          <w:rFonts w:ascii="Palatino Linotype" w:hAnsi="Palatino Linotype"/>
          <w:sz w:val="20"/>
          <w:szCs w:val="20"/>
        </w:rPr>
      </w:pPr>
      <w:r w:rsidRPr="004068B6">
        <w:rPr>
          <w:rFonts w:ascii="Palatino Linotype" w:hAnsi="Palatino Linotype"/>
          <w:color w:val="000000"/>
          <w:sz w:val="20"/>
          <w:szCs w:val="20"/>
        </w:rPr>
        <w:t>The Ogboinbiri 5MW Site Development and Revenue Sharing Agreement dated May 16, 2025 (“</w:t>
      </w:r>
      <w:r w:rsidRPr="004068B6">
        <w:rPr>
          <w:rFonts w:ascii="Palatino Linotype" w:hAnsi="Palatino Linotype"/>
          <w:sz w:val="20"/>
          <w:szCs w:val="20"/>
        </w:rPr>
        <w:t>SDA</w:t>
      </w:r>
      <w:r w:rsidRPr="004068B6">
        <w:rPr>
          <w:rFonts w:ascii="Palatino Linotype" w:hAnsi="Palatino Linotype"/>
          <w:color w:val="000000"/>
          <w:sz w:val="20"/>
          <w:szCs w:val="20"/>
        </w:rPr>
        <w:t>”); and</w:t>
      </w:r>
    </w:p>
    <w:p w14:paraId="02850BB6" w14:textId="77777777" w:rsidR="00B55EF3" w:rsidRPr="004068B6" w:rsidRDefault="00000000">
      <w:pPr>
        <w:numPr>
          <w:ilvl w:val="0"/>
          <w:numId w:val="5"/>
        </w:numPr>
        <w:pBdr>
          <w:top w:val="nil"/>
          <w:left w:val="nil"/>
          <w:bottom w:val="nil"/>
          <w:right w:val="nil"/>
          <w:between w:val="nil"/>
        </w:pBdr>
        <w:spacing w:after="60"/>
        <w:rPr>
          <w:rFonts w:ascii="Palatino Linotype" w:hAnsi="Palatino Linotype"/>
          <w:sz w:val="20"/>
          <w:szCs w:val="20"/>
        </w:rPr>
      </w:pPr>
      <w:r w:rsidRPr="004068B6">
        <w:rPr>
          <w:rFonts w:ascii="Palatino Linotype" w:hAnsi="Palatino Linotype"/>
          <w:color w:val="000000"/>
          <w:sz w:val="20"/>
          <w:szCs w:val="20"/>
        </w:rPr>
        <w:t xml:space="preserve">Addendum No. 1 to the </w:t>
      </w:r>
      <w:r w:rsidRPr="004068B6">
        <w:rPr>
          <w:rFonts w:ascii="Palatino Linotype" w:hAnsi="Palatino Linotype"/>
          <w:sz w:val="20"/>
          <w:szCs w:val="20"/>
        </w:rPr>
        <w:t>SDA</w:t>
      </w:r>
      <w:r w:rsidRPr="004068B6">
        <w:rPr>
          <w:rFonts w:ascii="Palatino Linotype" w:hAnsi="Palatino Linotype"/>
          <w:color w:val="000000"/>
          <w:sz w:val="20"/>
          <w:szCs w:val="20"/>
        </w:rPr>
        <w:t xml:space="preserve"> dated July 3, 2025 (“Addendum”).</w:t>
      </w:r>
    </w:p>
    <w:p w14:paraId="3609A5A0" w14:textId="77777777" w:rsidR="003F48D6" w:rsidRPr="004068B6" w:rsidRDefault="00000000" w:rsidP="003F48D6">
      <w:pPr>
        <w:spacing w:before="120" w:after="120"/>
        <w:jc w:val="both"/>
        <w:rPr>
          <w:rFonts w:ascii="Palatino Linotype" w:hAnsi="Palatino Linotype"/>
          <w:sz w:val="20"/>
          <w:szCs w:val="20"/>
        </w:rPr>
      </w:pPr>
      <w:r w:rsidRPr="004068B6">
        <w:rPr>
          <w:rFonts w:ascii="Palatino Linotype" w:hAnsi="Palatino Linotype"/>
          <w:sz w:val="20"/>
          <w:szCs w:val="20"/>
        </w:rPr>
        <w:t xml:space="preserve">NRG Bloom’s case is that TON systematically devalued NRG Bloom’s contractual position through a deliberate campaign described by TON’s own representative as a </w:t>
      </w:r>
      <w:r w:rsidRPr="004068B6">
        <w:rPr>
          <w:rFonts w:ascii="Palatino Linotype" w:hAnsi="Palatino Linotype"/>
          <w:b/>
          <w:bCs/>
          <w:sz w:val="20"/>
          <w:szCs w:val="20"/>
        </w:rPr>
        <w:t>“calculated tactic.”</w:t>
      </w:r>
      <w:r w:rsidRPr="004068B6">
        <w:rPr>
          <w:rFonts w:ascii="Palatino Linotype" w:hAnsi="Palatino Linotype"/>
          <w:sz w:val="20"/>
          <w:szCs w:val="20"/>
        </w:rPr>
        <w:t xml:space="preserve"> </w:t>
      </w:r>
    </w:p>
    <w:p w14:paraId="451EEC74" w14:textId="7F1A7BBB" w:rsidR="00B55EF3" w:rsidRPr="004068B6" w:rsidRDefault="00000000" w:rsidP="003F48D6">
      <w:pPr>
        <w:spacing w:before="120" w:after="120"/>
        <w:jc w:val="both"/>
        <w:rPr>
          <w:rFonts w:ascii="Palatino Linotype" w:hAnsi="Palatino Linotype"/>
          <w:sz w:val="20"/>
          <w:szCs w:val="20"/>
        </w:rPr>
      </w:pPr>
      <w:r w:rsidRPr="004068B6">
        <w:rPr>
          <w:rFonts w:ascii="Palatino Linotype" w:hAnsi="Palatino Linotype"/>
          <w:sz w:val="20"/>
          <w:szCs w:val="20"/>
        </w:rPr>
        <w:t>This devaluation followed a clear trajectory:</w:t>
      </w:r>
    </w:p>
    <w:p w14:paraId="2932A387" w14:textId="77777777" w:rsidR="003F48D6" w:rsidRPr="004068B6" w:rsidRDefault="003F48D6">
      <w:pPr>
        <w:spacing w:before="120" w:after="120"/>
        <w:rPr>
          <w:rFonts w:ascii="Palatino Linotype" w:hAnsi="Palatino Linotype"/>
          <w:sz w:val="20"/>
          <w:szCs w:val="20"/>
        </w:rPr>
      </w:pP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2340"/>
        <w:gridCol w:w="2340"/>
      </w:tblGrid>
      <w:tr w:rsidR="00B55EF3" w:rsidRPr="004068B6" w14:paraId="4CB59121" w14:textId="77777777">
        <w:tc>
          <w:tcPr>
            <w:tcW w:w="234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4E6205D8" w14:textId="77777777" w:rsidR="00B55EF3" w:rsidRPr="004068B6" w:rsidRDefault="00000000">
            <w:pPr>
              <w:rPr>
                <w:rFonts w:ascii="Palatino Linotype" w:hAnsi="Palatino Linotype"/>
                <w:color w:val="00B050"/>
                <w:sz w:val="20"/>
                <w:szCs w:val="20"/>
              </w:rPr>
            </w:pPr>
            <w:r w:rsidRPr="004068B6">
              <w:rPr>
                <w:rFonts w:ascii="Palatino Linotype" w:hAnsi="Palatino Linotype"/>
                <w:b/>
                <w:bCs/>
                <w:color w:val="00B050"/>
                <w:sz w:val="20"/>
                <w:szCs w:val="20"/>
              </w:rPr>
              <w:t>Agreement</w:t>
            </w:r>
          </w:p>
        </w:tc>
        <w:tc>
          <w:tcPr>
            <w:tcW w:w="234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218708EF" w14:textId="77777777" w:rsidR="00B55EF3" w:rsidRPr="004068B6" w:rsidRDefault="00000000">
            <w:pPr>
              <w:rPr>
                <w:rFonts w:ascii="Palatino Linotype" w:hAnsi="Palatino Linotype"/>
                <w:color w:val="00B050"/>
                <w:sz w:val="20"/>
                <w:szCs w:val="20"/>
              </w:rPr>
            </w:pPr>
            <w:r w:rsidRPr="004068B6">
              <w:rPr>
                <w:rFonts w:ascii="Palatino Linotype" w:hAnsi="Palatino Linotype"/>
                <w:b/>
                <w:bCs/>
                <w:color w:val="00B050"/>
                <w:sz w:val="20"/>
                <w:szCs w:val="20"/>
              </w:rPr>
              <w:t>Date</w:t>
            </w:r>
          </w:p>
        </w:tc>
        <w:tc>
          <w:tcPr>
            <w:tcW w:w="234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546E8E04" w14:textId="77777777" w:rsidR="00B55EF3" w:rsidRPr="004068B6" w:rsidRDefault="00000000">
            <w:pPr>
              <w:rPr>
                <w:rFonts w:ascii="Palatino Linotype" w:hAnsi="Palatino Linotype"/>
                <w:color w:val="00B050"/>
                <w:sz w:val="20"/>
                <w:szCs w:val="20"/>
              </w:rPr>
            </w:pPr>
            <w:r w:rsidRPr="004068B6">
              <w:rPr>
                <w:rFonts w:ascii="Palatino Linotype" w:hAnsi="Palatino Linotype"/>
                <w:b/>
                <w:bCs/>
                <w:color w:val="00B050"/>
                <w:sz w:val="20"/>
                <w:szCs w:val="20"/>
              </w:rPr>
              <w:t>Revenue Share</w:t>
            </w:r>
          </w:p>
        </w:tc>
        <w:tc>
          <w:tcPr>
            <w:tcW w:w="234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304B1D73" w14:textId="77777777" w:rsidR="00B55EF3" w:rsidRPr="004068B6" w:rsidRDefault="00000000">
            <w:pPr>
              <w:rPr>
                <w:rFonts w:ascii="Palatino Linotype" w:hAnsi="Palatino Linotype"/>
                <w:color w:val="00B050"/>
                <w:sz w:val="20"/>
                <w:szCs w:val="20"/>
              </w:rPr>
            </w:pPr>
            <w:r w:rsidRPr="004068B6">
              <w:rPr>
                <w:rFonts w:ascii="Palatino Linotype" w:hAnsi="Palatino Linotype"/>
                <w:b/>
                <w:bCs/>
                <w:color w:val="00B050"/>
                <w:sz w:val="20"/>
                <w:szCs w:val="20"/>
              </w:rPr>
              <w:t>Management Fee</w:t>
            </w:r>
          </w:p>
        </w:tc>
      </w:tr>
      <w:tr w:rsidR="00B55EF3" w:rsidRPr="004068B6" w14:paraId="35BF3403" w14:textId="77777777">
        <w:tc>
          <w:tcPr>
            <w:tcW w:w="234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C8D7C59"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JV Agreement</w:t>
            </w:r>
          </w:p>
        </w:tc>
        <w:tc>
          <w:tcPr>
            <w:tcW w:w="234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AE8489D"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February 19, 2025</w:t>
            </w:r>
          </w:p>
        </w:tc>
        <w:tc>
          <w:tcPr>
            <w:tcW w:w="234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C366044"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1MW allocation (~25% equivalent, expressed as 250 ASICs)</w:t>
            </w:r>
          </w:p>
        </w:tc>
        <w:tc>
          <w:tcPr>
            <w:tcW w:w="234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D17D125"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USD $9,000/month</w:t>
            </w:r>
          </w:p>
        </w:tc>
      </w:tr>
      <w:tr w:rsidR="00B55EF3" w:rsidRPr="004068B6" w14:paraId="78CD6EA0" w14:textId="77777777">
        <w:tc>
          <w:tcPr>
            <w:tcW w:w="234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33B1A14"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Interim Agreement</w:t>
            </w:r>
          </w:p>
        </w:tc>
        <w:tc>
          <w:tcPr>
            <w:tcW w:w="234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D643395"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April 2, 2025</w:t>
            </w:r>
          </w:p>
        </w:tc>
        <w:tc>
          <w:tcPr>
            <w:tcW w:w="234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81B8517"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40% of remaining revenue after 25% community split (~30% effective) for the proof-of-concept</w:t>
            </w:r>
          </w:p>
        </w:tc>
        <w:tc>
          <w:tcPr>
            <w:tcW w:w="234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2CDA969"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Basis: USD $5,000/month</w:t>
            </w:r>
          </w:p>
          <w:p w14:paraId="16E8E3C2"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Per added MW: USD $800/month</w:t>
            </w:r>
          </w:p>
          <w:p w14:paraId="7F764F4E"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Max: USD $7,400/month</w:t>
            </w:r>
          </w:p>
        </w:tc>
      </w:tr>
      <w:tr w:rsidR="00B55EF3" w:rsidRPr="004068B6" w14:paraId="0DB8B362" w14:textId="77777777">
        <w:tc>
          <w:tcPr>
            <w:tcW w:w="234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7C19E3BC"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SDA</w:t>
            </w:r>
          </w:p>
        </w:tc>
        <w:tc>
          <w:tcPr>
            <w:tcW w:w="234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842ADFE"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May 16, 2025</w:t>
            </w:r>
          </w:p>
        </w:tc>
        <w:tc>
          <w:tcPr>
            <w:tcW w:w="234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119A525"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8% of net Bitcoin mining revenue</w:t>
            </w:r>
          </w:p>
        </w:tc>
        <w:tc>
          <w:tcPr>
            <w:tcW w:w="234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FE134F0"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USD $875/month per container (max $3,500/month)</w:t>
            </w:r>
          </w:p>
        </w:tc>
      </w:tr>
      <w:tr w:rsidR="00B55EF3" w:rsidRPr="004068B6" w14:paraId="48D8204C" w14:textId="77777777">
        <w:tc>
          <w:tcPr>
            <w:tcW w:w="234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1C66D87"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Termination</w:t>
            </w:r>
          </w:p>
        </w:tc>
        <w:tc>
          <w:tcPr>
            <w:tcW w:w="234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4648CFD"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February 12, 2026</w:t>
            </w:r>
          </w:p>
        </w:tc>
        <w:tc>
          <w:tcPr>
            <w:tcW w:w="234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081A18E"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0%</w:t>
            </w:r>
          </w:p>
        </w:tc>
        <w:tc>
          <w:tcPr>
            <w:tcW w:w="234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81F6E52"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$0 (never paid)</w:t>
            </w:r>
          </w:p>
        </w:tc>
      </w:tr>
    </w:tbl>
    <w:p w14:paraId="61E67865" w14:textId="77777777" w:rsidR="004068B6" w:rsidRPr="004068B6" w:rsidRDefault="004068B6" w:rsidP="003F48D6">
      <w:pPr>
        <w:spacing w:before="120" w:after="120"/>
        <w:jc w:val="both"/>
        <w:rPr>
          <w:rFonts w:ascii="Palatino Linotype" w:hAnsi="Palatino Linotype"/>
          <w:sz w:val="20"/>
          <w:szCs w:val="20"/>
        </w:rPr>
      </w:pPr>
    </w:p>
    <w:p w14:paraId="265BDBA7" w14:textId="40504150" w:rsidR="00B55EF3" w:rsidRPr="004068B6" w:rsidRDefault="00000000" w:rsidP="003F48D6">
      <w:pPr>
        <w:spacing w:before="120" w:after="120"/>
        <w:jc w:val="both"/>
        <w:rPr>
          <w:rFonts w:ascii="Palatino Linotype" w:hAnsi="Palatino Linotype"/>
          <w:sz w:val="20"/>
          <w:szCs w:val="20"/>
        </w:rPr>
      </w:pPr>
      <w:r w:rsidRPr="004068B6">
        <w:rPr>
          <w:rFonts w:ascii="Palatino Linotype" w:hAnsi="Palatino Linotype"/>
          <w:sz w:val="20"/>
          <w:szCs w:val="20"/>
        </w:rPr>
        <w:t>Each reduction coincided with a termination threat or ultimatum. TON manufactured the conditions for termination, misrepresented NRG Bloom’s awareness to third parties, circumvented NRG Bloom’s introducer role in violation of the NDA and the JV Agreement’s exclusivity clause, and terminated the relationship at the precise moment when revenue was about to flow to NRG Bloom.</w:t>
      </w:r>
    </w:p>
    <w:p w14:paraId="2D06598E" w14:textId="3957223B" w:rsidR="00B55EF3" w:rsidRPr="004068B6" w:rsidRDefault="00000000" w:rsidP="003F48D6">
      <w:pPr>
        <w:spacing w:after="240"/>
        <w:jc w:val="both"/>
        <w:rPr>
          <w:rFonts w:ascii="Palatino Linotype" w:hAnsi="Palatino Linotype"/>
          <w:sz w:val="20"/>
          <w:szCs w:val="20"/>
        </w:rPr>
      </w:pPr>
      <w:r w:rsidRPr="004068B6">
        <w:rPr>
          <w:rFonts w:ascii="Palatino Linotype" w:hAnsi="Palatino Linotype"/>
          <w:b/>
          <w:bCs/>
          <w:sz w:val="20"/>
          <w:szCs w:val="20"/>
          <w:u w:val="single"/>
        </w:rPr>
        <w:lastRenderedPageBreak/>
        <w:t>NRG Bloom’s settlement position is (</w:t>
      </w:r>
      <w:r w:rsidR="003F48D6" w:rsidRPr="004068B6">
        <w:rPr>
          <w:rFonts w:ascii="Palatino Linotype" w:hAnsi="Palatino Linotype"/>
          <w:b/>
          <w:bCs/>
          <w:sz w:val="20"/>
          <w:szCs w:val="20"/>
          <w:u w:val="single"/>
        </w:rPr>
        <w:t>USD 585</w:t>
      </w:r>
      <w:r w:rsidRPr="004068B6">
        <w:rPr>
          <w:rFonts w:ascii="Palatino Linotype" w:hAnsi="Palatino Linotype"/>
          <w:b/>
          <w:bCs/>
          <w:sz w:val="20"/>
          <w:szCs w:val="20"/>
          <w:u w:val="single"/>
        </w:rPr>
        <w:t>,000)</w:t>
      </w:r>
      <w:r w:rsidR="004068B6" w:rsidRPr="004068B6">
        <w:rPr>
          <w:rFonts w:ascii="Palatino Linotype" w:hAnsi="Palatino Linotype"/>
          <w:b/>
          <w:bCs/>
          <w:sz w:val="20"/>
          <w:szCs w:val="20"/>
          <w:u w:val="single"/>
        </w:rPr>
        <w:t xml:space="preserve"> Five Hundred and Eighty Five Thousand USD</w:t>
      </w:r>
      <w:r w:rsidRPr="004068B6">
        <w:rPr>
          <w:rFonts w:ascii="Palatino Linotype" w:hAnsi="Palatino Linotype"/>
          <w:b/>
          <w:bCs/>
          <w:sz w:val="20"/>
          <w:szCs w:val="20"/>
          <w:u w:val="single"/>
        </w:rPr>
        <w:t>.</w:t>
      </w:r>
      <w:r w:rsidRPr="004068B6">
        <w:rPr>
          <w:rFonts w:ascii="Palatino Linotype" w:hAnsi="Palatino Linotype"/>
          <w:sz w:val="20"/>
          <w:szCs w:val="20"/>
        </w:rPr>
        <w:t xml:space="preserve"> This represents a material discount from NRG Bloom’s full and is offered in the interest of prompt resolution.</w:t>
      </w:r>
      <w:r w:rsidR="004068B6">
        <w:rPr>
          <w:rFonts w:ascii="Palatino Linotype" w:hAnsi="Palatino Linotype"/>
          <w:sz w:val="20"/>
          <w:szCs w:val="20"/>
        </w:rPr>
        <w:t xml:space="preserve"> </w:t>
      </w:r>
      <w:r w:rsidR="003F48D6" w:rsidRPr="004068B6">
        <w:rPr>
          <w:rFonts w:ascii="Palatino Linotype" w:hAnsi="Palatino Linotype"/>
          <w:b/>
          <w:bCs/>
          <w:sz w:val="20"/>
          <w:szCs w:val="20"/>
          <w:u w:val="single"/>
        </w:rPr>
        <w:t>Payment to be made within 14 days</w:t>
      </w:r>
      <w:r w:rsidR="004068B6">
        <w:rPr>
          <w:rFonts w:ascii="Palatino Linotype" w:hAnsi="Palatino Linotype"/>
          <w:b/>
          <w:bCs/>
          <w:sz w:val="20"/>
          <w:szCs w:val="20"/>
          <w:u w:val="single"/>
        </w:rPr>
        <w:t xml:space="preserve"> to a designated account and evidence of payment shared within 24</w:t>
      </w:r>
    </w:p>
    <w:p w14:paraId="67A665CA" w14:textId="49BACC30" w:rsidR="00B55EF3" w:rsidRPr="00922659" w:rsidRDefault="00000000">
      <w:pPr>
        <w:pStyle w:val="Heading1"/>
        <w:rPr>
          <w:rFonts w:ascii="Palatino Linotype" w:hAnsi="Palatino Linotype"/>
          <w:color w:val="00B050"/>
          <w:sz w:val="20"/>
          <w:szCs w:val="20"/>
        </w:rPr>
      </w:pPr>
      <w:r w:rsidRPr="00922659">
        <w:rPr>
          <w:rFonts w:ascii="Palatino Linotype" w:hAnsi="Palatino Linotype"/>
          <w:color w:val="00B050"/>
          <w:sz w:val="20"/>
          <w:szCs w:val="20"/>
        </w:rPr>
        <w:t>KEY FACTS</w:t>
      </w:r>
    </w:p>
    <w:p w14:paraId="759BE1FA" w14:textId="77777777" w:rsidR="00B55EF3" w:rsidRPr="004068B6" w:rsidRDefault="00000000">
      <w:pPr>
        <w:pStyle w:val="Heading2"/>
        <w:rPr>
          <w:rFonts w:ascii="Palatino Linotype" w:hAnsi="Palatino Linotype"/>
          <w:color w:val="00B050"/>
          <w:sz w:val="20"/>
          <w:szCs w:val="20"/>
          <w:u w:val="single"/>
        </w:rPr>
      </w:pPr>
      <w:r w:rsidRPr="004068B6">
        <w:rPr>
          <w:rFonts w:ascii="Palatino Linotype" w:hAnsi="Palatino Linotype"/>
          <w:color w:val="00B050"/>
          <w:sz w:val="20"/>
          <w:szCs w:val="20"/>
          <w:u w:val="single"/>
        </w:rPr>
        <w:t>B.1 The Relationship</w:t>
      </w:r>
    </w:p>
    <w:p w14:paraId="39A59A07" w14:textId="77777777" w:rsidR="00922659" w:rsidRDefault="00922659">
      <w:pPr>
        <w:spacing w:after="80"/>
        <w:rPr>
          <w:rFonts w:ascii="Palatino Linotype" w:hAnsi="Palatino Linotype"/>
          <w:sz w:val="20"/>
          <w:szCs w:val="20"/>
        </w:rPr>
      </w:pPr>
    </w:p>
    <w:p w14:paraId="78392DBA" w14:textId="7FECC745" w:rsidR="00B55EF3" w:rsidRPr="004068B6" w:rsidRDefault="00000000">
      <w:pPr>
        <w:spacing w:after="80"/>
        <w:rPr>
          <w:rFonts w:ascii="Palatino Linotype" w:hAnsi="Palatino Linotype"/>
          <w:sz w:val="20"/>
          <w:szCs w:val="20"/>
        </w:rPr>
      </w:pPr>
      <w:r w:rsidRPr="004068B6">
        <w:rPr>
          <w:rFonts w:ascii="Palatino Linotype" w:hAnsi="Palatino Linotype"/>
          <w:sz w:val="20"/>
          <w:szCs w:val="20"/>
        </w:rPr>
        <w:t>NRG Bloom conceived the Nigerian Bitcoin mining opportunity that formed the foundation of TON’s market entry into Nigeria. NRG Bloom’s contributions included:</w:t>
      </w:r>
    </w:p>
    <w:p w14:paraId="449C26CA" w14:textId="77777777" w:rsidR="00B55EF3" w:rsidRPr="004068B6" w:rsidRDefault="00000000">
      <w:pPr>
        <w:numPr>
          <w:ilvl w:val="0"/>
          <w:numId w:val="5"/>
        </w:numPr>
        <w:pBdr>
          <w:top w:val="nil"/>
          <w:left w:val="nil"/>
          <w:bottom w:val="nil"/>
          <w:right w:val="nil"/>
          <w:between w:val="nil"/>
        </w:pBdr>
        <w:spacing w:after="60"/>
        <w:rPr>
          <w:rFonts w:ascii="Palatino Linotype" w:hAnsi="Palatino Linotype"/>
          <w:sz w:val="20"/>
          <w:szCs w:val="20"/>
        </w:rPr>
      </w:pPr>
      <w:r w:rsidRPr="004068B6">
        <w:rPr>
          <w:rFonts w:ascii="Palatino Linotype" w:hAnsi="Palatino Linotype"/>
          <w:b/>
          <w:bCs/>
          <w:color w:val="000000"/>
          <w:sz w:val="20"/>
          <w:szCs w:val="20"/>
        </w:rPr>
        <w:t xml:space="preserve">Site origination: </w:t>
      </w:r>
      <w:r w:rsidRPr="004068B6">
        <w:rPr>
          <w:rFonts w:ascii="Palatino Linotype" w:hAnsi="Palatino Linotype"/>
          <w:color w:val="000000"/>
          <w:sz w:val="20"/>
          <w:szCs w:val="20"/>
        </w:rPr>
        <w:t>NRG Bloom identified the Ogboinbiri site and had existing operations before TON’s involvement</w:t>
      </w:r>
    </w:p>
    <w:p w14:paraId="3588F4B7" w14:textId="77777777" w:rsidR="00B55EF3" w:rsidRPr="004068B6" w:rsidRDefault="00000000">
      <w:pPr>
        <w:numPr>
          <w:ilvl w:val="0"/>
          <w:numId w:val="5"/>
        </w:numPr>
        <w:pBdr>
          <w:top w:val="nil"/>
          <w:left w:val="nil"/>
          <w:bottom w:val="nil"/>
          <w:right w:val="nil"/>
          <w:between w:val="nil"/>
        </w:pBdr>
        <w:spacing w:after="60"/>
        <w:rPr>
          <w:rFonts w:ascii="Palatino Linotype" w:hAnsi="Palatino Linotype"/>
          <w:sz w:val="20"/>
          <w:szCs w:val="20"/>
        </w:rPr>
      </w:pPr>
      <w:r w:rsidRPr="004068B6">
        <w:rPr>
          <w:rFonts w:ascii="Palatino Linotype" w:hAnsi="Palatino Linotype"/>
          <w:b/>
          <w:bCs/>
          <w:color w:val="000000"/>
          <w:sz w:val="20"/>
          <w:szCs w:val="20"/>
        </w:rPr>
        <w:t xml:space="preserve">Community access: </w:t>
      </w:r>
      <w:r w:rsidRPr="004068B6">
        <w:rPr>
          <w:rFonts w:ascii="Palatino Linotype" w:hAnsi="Palatino Linotype"/>
          <w:color w:val="000000"/>
          <w:sz w:val="20"/>
          <w:szCs w:val="20"/>
        </w:rPr>
        <w:t>Introduced TON to the community Power of Attorney (Agnes), the Community King, and local officials</w:t>
      </w:r>
    </w:p>
    <w:p w14:paraId="6220E872" w14:textId="57161CEE" w:rsidR="00B55EF3" w:rsidRPr="004068B6" w:rsidRDefault="00000000">
      <w:pPr>
        <w:numPr>
          <w:ilvl w:val="0"/>
          <w:numId w:val="5"/>
        </w:numPr>
        <w:pBdr>
          <w:top w:val="nil"/>
          <w:left w:val="nil"/>
          <w:bottom w:val="nil"/>
          <w:right w:val="nil"/>
          <w:between w:val="nil"/>
        </w:pBdr>
        <w:spacing w:after="60"/>
        <w:rPr>
          <w:rFonts w:ascii="Palatino Linotype" w:hAnsi="Palatino Linotype"/>
          <w:sz w:val="20"/>
          <w:szCs w:val="20"/>
        </w:rPr>
      </w:pPr>
      <w:r w:rsidRPr="004068B6">
        <w:rPr>
          <w:rFonts w:ascii="Palatino Linotype" w:hAnsi="Palatino Linotype"/>
          <w:b/>
          <w:bCs/>
          <w:color w:val="000000"/>
          <w:sz w:val="20"/>
          <w:szCs w:val="20"/>
        </w:rPr>
        <w:t xml:space="preserve">Gas supplier introduction: </w:t>
      </w:r>
      <w:r w:rsidRPr="004068B6">
        <w:rPr>
          <w:rFonts w:ascii="Palatino Linotype" w:hAnsi="Palatino Linotype"/>
          <w:color w:val="000000"/>
          <w:sz w:val="20"/>
          <w:szCs w:val="20"/>
        </w:rPr>
        <w:t>Introduced TON to Axxela Group — a separate 10MW opportunity worth an estimated USD $5.6 - $15.3 million over five years, originated by NRG Bloom through a direct inbound inquiry from Axxela</w:t>
      </w:r>
      <w:r w:rsidR="003F48D6" w:rsidRPr="004068B6">
        <w:rPr>
          <w:rFonts w:ascii="Palatino Linotype" w:hAnsi="Palatino Linotype"/>
          <w:color w:val="000000"/>
          <w:sz w:val="20"/>
          <w:szCs w:val="20"/>
        </w:rPr>
        <w:t>.</w:t>
      </w:r>
      <w:r w:rsidRPr="004068B6">
        <w:rPr>
          <w:rFonts w:ascii="Palatino Linotype" w:hAnsi="Palatino Linotype"/>
          <w:color w:val="000000"/>
          <w:sz w:val="20"/>
          <w:szCs w:val="20"/>
        </w:rPr>
        <w:t xml:space="preserve"> </w:t>
      </w:r>
    </w:p>
    <w:p w14:paraId="238240B2" w14:textId="77777777" w:rsidR="00B55EF3" w:rsidRPr="004068B6" w:rsidRDefault="00000000">
      <w:pPr>
        <w:numPr>
          <w:ilvl w:val="0"/>
          <w:numId w:val="5"/>
        </w:numPr>
        <w:pBdr>
          <w:top w:val="nil"/>
          <w:left w:val="nil"/>
          <w:bottom w:val="nil"/>
          <w:right w:val="nil"/>
          <w:between w:val="nil"/>
        </w:pBdr>
        <w:spacing w:after="60"/>
        <w:rPr>
          <w:rFonts w:ascii="Palatino Linotype" w:hAnsi="Palatino Linotype"/>
          <w:sz w:val="20"/>
          <w:szCs w:val="20"/>
        </w:rPr>
      </w:pPr>
      <w:r w:rsidRPr="004068B6">
        <w:rPr>
          <w:rFonts w:ascii="Palatino Linotype" w:hAnsi="Palatino Linotype"/>
          <w:b/>
          <w:bCs/>
          <w:color w:val="000000"/>
          <w:sz w:val="20"/>
          <w:szCs w:val="20"/>
        </w:rPr>
        <w:t xml:space="preserve">Security and logistics: </w:t>
      </w:r>
      <w:r w:rsidRPr="004068B6">
        <w:rPr>
          <w:rFonts w:ascii="Palatino Linotype" w:hAnsi="Palatino Linotype"/>
          <w:color w:val="000000"/>
          <w:sz w:val="20"/>
          <w:szCs w:val="20"/>
        </w:rPr>
        <w:t>Arranged visas, itineraries, armed security escorts, flights, and all ground logistics for TON’s first Nigeria visit (February 2025)</w:t>
      </w:r>
    </w:p>
    <w:p w14:paraId="56F8B9FD" w14:textId="77777777" w:rsidR="00B55EF3" w:rsidRPr="004068B6" w:rsidRDefault="00000000">
      <w:pPr>
        <w:numPr>
          <w:ilvl w:val="0"/>
          <w:numId w:val="5"/>
        </w:numPr>
        <w:pBdr>
          <w:top w:val="nil"/>
          <w:left w:val="nil"/>
          <w:bottom w:val="nil"/>
          <w:right w:val="nil"/>
          <w:between w:val="nil"/>
        </w:pBdr>
        <w:spacing w:after="60"/>
        <w:rPr>
          <w:rFonts w:ascii="Palatino Linotype" w:hAnsi="Palatino Linotype"/>
          <w:sz w:val="20"/>
          <w:szCs w:val="20"/>
        </w:rPr>
      </w:pPr>
      <w:r w:rsidRPr="004068B6">
        <w:rPr>
          <w:rFonts w:ascii="Palatino Linotype" w:hAnsi="Palatino Linotype"/>
          <w:b/>
          <w:bCs/>
          <w:color w:val="000000"/>
          <w:sz w:val="20"/>
          <w:szCs w:val="20"/>
        </w:rPr>
        <w:t xml:space="preserve">Operational management: </w:t>
      </w:r>
      <w:r w:rsidRPr="004068B6">
        <w:rPr>
          <w:rFonts w:ascii="Palatino Linotype" w:hAnsi="Palatino Linotype"/>
          <w:color w:val="000000"/>
          <w:sz w:val="20"/>
          <w:szCs w:val="20"/>
        </w:rPr>
        <w:t>Managed all ground operations for thirteen months, including security (two guards), fencing (</w:t>
      </w:r>
      <w:r w:rsidRPr="004068B6">
        <w:rPr>
          <w:color w:val="000000"/>
          <w:sz w:val="20"/>
          <w:szCs w:val="20"/>
        </w:rPr>
        <w:t>₦</w:t>
      </w:r>
      <w:r w:rsidRPr="004068B6">
        <w:rPr>
          <w:rFonts w:ascii="Palatino Linotype" w:hAnsi="Palatino Linotype"/>
          <w:color w:val="000000"/>
          <w:sz w:val="20"/>
          <w:szCs w:val="20"/>
        </w:rPr>
        <w:t>4.2M), land lease, site maintenance, Starlink connectivity, staff management, customs clearance, and community relations</w:t>
      </w:r>
    </w:p>
    <w:p w14:paraId="1F040A23" w14:textId="77777777" w:rsidR="00B55EF3" w:rsidRPr="004068B6" w:rsidRDefault="00000000">
      <w:pPr>
        <w:numPr>
          <w:ilvl w:val="0"/>
          <w:numId w:val="5"/>
        </w:numPr>
        <w:pBdr>
          <w:top w:val="nil"/>
          <w:left w:val="nil"/>
          <w:bottom w:val="nil"/>
          <w:right w:val="nil"/>
          <w:between w:val="nil"/>
        </w:pBdr>
        <w:spacing w:after="60"/>
        <w:rPr>
          <w:rFonts w:ascii="Palatino Linotype" w:hAnsi="Palatino Linotype"/>
          <w:sz w:val="20"/>
          <w:szCs w:val="20"/>
        </w:rPr>
      </w:pPr>
      <w:r w:rsidRPr="004068B6">
        <w:rPr>
          <w:rFonts w:ascii="Palatino Linotype" w:hAnsi="Palatino Linotype"/>
          <w:b/>
          <w:bCs/>
          <w:color w:val="000000"/>
          <w:sz w:val="20"/>
          <w:szCs w:val="20"/>
        </w:rPr>
        <w:t xml:space="preserve">Regulatory navigation: </w:t>
      </w:r>
      <w:r w:rsidRPr="004068B6">
        <w:rPr>
          <w:rFonts w:ascii="Palatino Linotype" w:hAnsi="Palatino Linotype"/>
          <w:color w:val="000000"/>
          <w:sz w:val="20"/>
          <w:szCs w:val="20"/>
        </w:rPr>
        <w:t>Handled all compliance, legal, and administrative processes in Nigeria</w:t>
      </w:r>
    </w:p>
    <w:p w14:paraId="7905916A" w14:textId="0660CD9A" w:rsidR="00B55EF3" w:rsidRPr="004068B6" w:rsidRDefault="00000000">
      <w:pPr>
        <w:numPr>
          <w:ilvl w:val="0"/>
          <w:numId w:val="5"/>
        </w:numPr>
        <w:pBdr>
          <w:top w:val="nil"/>
          <w:left w:val="nil"/>
          <w:bottom w:val="nil"/>
          <w:right w:val="nil"/>
          <w:between w:val="nil"/>
        </w:pBdr>
        <w:spacing w:after="60"/>
        <w:rPr>
          <w:rFonts w:ascii="Palatino Linotype" w:hAnsi="Palatino Linotype"/>
          <w:sz w:val="20"/>
          <w:szCs w:val="20"/>
        </w:rPr>
      </w:pPr>
      <w:r w:rsidRPr="004068B6">
        <w:rPr>
          <w:rFonts w:ascii="Palatino Linotype" w:hAnsi="Palatino Linotype"/>
          <w:b/>
          <w:bCs/>
          <w:color w:val="000000"/>
          <w:sz w:val="20"/>
          <w:szCs w:val="20"/>
        </w:rPr>
        <w:t xml:space="preserve">Stakeholder conflict resolution: </w:t>
      </w:r>
      <w:r w:rsidRPr="004068B6">
        <w:rPr>
          <w:rFonts w:ascii="Palatino Linotype" w:hAnsi="Palatino Linotype"/>
          <w:color w:val="000000"/>
          <w:sz w:val="20"/>
          <w:szCs w:val="20"/>
        </w:rPr>
        <w:t>managed community tensions</w:t>
      </w:r>
    </w:p>
    <w:p w14:paraId="65A89241" w14:textId="5B8A4288" w:rsidR="00B55EF3" w:rsidRDefault="00000000">
      <w:pPr>
        <w:spacing w:before="120" w:after="120"/>
        <w:rPr>
          <w:rFonts w:ascii="Palatino Linotype" w:hAnsi="Palatino Linotype"/>
          <w:sz w:val="20"/>
          <w:szCs w:val="20"/>
        </w:rPr>
      </w:pPr>
      <w:r w:rsidRPr="004068B6">
        <w:rPr>
          <w:rFonts w:ascii="Palatino Linotype" w:hAnsi="Palatino Linotype"/>
          <w:sz w:val="20"/>
          <w:szCs w:val="20"/>
        </w:rPr>
        <w:t>The relationship was formalised through five interconnected agreements:</w:t>
      </w:r>
      <w:r w:rsidR="00922659">
        <w:rPr>
          <w:rFonts w:ascii="Palatino Linotype" w:hAnsi="Palatino Linotype"/>
          <w:sz w:val="20"/>
          <w:szCs w:val="20"/>
        </w:rPr>
        <w:t xml:space="preserve"> </w:t>
      </w:r>
    </w:p>
    <w:p w14:paraId="62AC1D4C" w14:textId="77777777" w:rsidR="00922659" w:rsidRPr="004068B6" w:rsidRDefault="00922659">
      <w:pPr>
        <w:spacing w:before="120" w:after="120"/>
        <w:rPr>
          <w:rFonts w:ascii="Palatino Linotype" w:hAnsi="Palatino Linotype"/>
          <w:sz w:val="20"/>
          <w:szCs w:val="20"/>
        </w:rPr>
      </w:pP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800"/>
        <w:gridCol w:w="5360"/>
      </w:tblGrid>
      <w:tr w:rsidR="00B55EF3" w:rsidRPr="004068B6" w14:paraId="372CC709" w14:textId="77777777">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0EFFC678" w14:textId="77777777" w:rsidR="00B55EF3" w:rsidRPr="00922659" w:rsidRDefault="00000000">
            <w:pPr>
              <w:rPr>
                <w:rFonts w:ascii="Palatino Linotype" w:hAnsi="Palatino Linotype"/>
                <w:color w:val="00B050"/>
                <w:sz w:val="20"/>
                <w:szCs w:val="20"/>
              </w:rPr>
            </w:pPr>
            <w:r w:rsidRPr="00922659">
              <w:rPr>
                <w:rFonts w:ascii="Palatino Linotype" w:hAnsi="Palatino Linotype"/>
                <w:b/>
                <w:bCs/>
                <w:color w:val="00B050"/>
                <w:sz w:val="20"/>
                <w:szCs w:val="20"/>
              </w:rPr>
              <w:t>Agreement</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056DB0EE" w14:textId="77777777" w:rsidR="00B55EF3" w:rsidRPr="00922659" w:rsidRDefault="00000000">
            <w:pPr>
              <w:rPr>
                <w:rFonts w:ascii="Palatino Linotype" w:hAnsi="Palatino Linotype"/>
                <w:color w:val="00B050"/>
                <w:sz w:val="20"/>
                <w:szCs w:val="20"/>
              </w:rPr>
            </w:pPr>
            <w:r w:rsidRPr="00922659">
              <w:rPr>
                <w:rFonts w:ascii="Palatino Linotype" w:hAnsi="Palatino Linotype"/>
                <w:b/>
                <w:bCs/>
                <w:color w:val="00B050"/>
                <w:sz w:val="20"/>
                <w:szCs w:val="20"/>
              </w:rPr>
              <w:t>Date</w:t>
            </w:r>
          </w:p>
        </w:tc>
        <w:tc>
          <w:tcPr>
            <w:tcW w:w="53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5C294AF0" w14:textId="77777777" w:rsidR="00B55EF3" w:rsidRPr="00922659" w:rsidRDefault="00000000">
            <w:pPr>
              <w:rPr>
                <w:rFonts w:ascii="Palatino Linotype" w:hAnsi="Palatino Linotype"/>
                <w:color w:val="00B050"/>
                <w:sz w:val="20"/>
                <w:szCs w:val="20"/>
              </w:rPr>
            </w:pPr>
            <w:r w:rsidRPr="00922659">
              <w:rPr>
                <w:rFonts w:ascii="Palatino Linotype" w:hAnsi="Palatino Linotype"/>
                <w:b/>
                <w:bCs/>
                <w:color w:val="00B050"/>
                <w:sz w:val="20"/>
                <w:szCs w:val="20"/>
              </w:rPr>
              <w:t>Key Terms for NRG Bloom</w:t>
            </w:r>
          </w:p>
        </w:tc>
      </w:tr>
      <w:tr w:rsidR="00B55EF3" w:rsidRPr="004068B6" w14:paraId="1DFAE7F0"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BDC62AF"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Mutual NDA</w:t>
            </w:r>
          </w:p>
        </w:tc>
        <w:tc>
          <w:tcPr>
            <w:tcW w:w="1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0C2B92D"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January 10, 2025</w:t>
            </w:r>
          </w:p>
        </w:tc>
        <w:tc>
          <w:tcPr>
            <w:tcW w:w="53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946D8E1"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2-year confidentiality period; non-circumvention provisions; governed NRG Bloom–TON information-sharing</w:t>
            </w:r>
          </w:p>
        </w:tc>
      </w:tr>
      <w:tr w:rsidR="00B55EF3" w:rsidRPr="004068B6" w14:paraId="5787EFD9"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DA09E81"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JV Agreement</w:t>
            </w:r>
          </w:p>
        </w:tc>
        <w:tc>
          <w:tcPr>
            <w:tcW w:w="1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5ED9D2B"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February 19, 2025</w:t>
            </w:r>
          </w:p>
        </w:tc>
        <w:tc>
          <w:tcPr>
            <w:tcW w:w="53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7B36074"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 xml:space="preserve">1MW allocation (~250 WhatsMiner M50s); USD $9,000/month operations fee; </w:t>
            </w:r>
            <w:r w:rsidRPr="004068B6">
              <w:rPr>
                <w:rFonts w:ascii="Palatino Linotype" w:hAnsi="Palatino Linotype"/>
                <w:b/>
                <w:bCs/>
                <w:sz w:val="20"/>
                <w:szCs w:val="20"/>
              </w:rPr>
              <w:t>Section 5: “TON agrees that all current and future Bitcoin mining projects in Nigeria will be done exclusively with NRG BLOOM”</w:t>
            </w:r>
            <w:r w:rsidRPr="004068B6">
              <w:rPr>
                <w:rFonts w:ascii="Palatino Linotype" w:hAnsi="Palatino Linotype"/>
                <w:sz w:val="20"/>
                <w:szCs w:val="20"/>
              </w:rPr>
              <w:t>; 90-day termination notice + 30-day cure period</w:t>
            </w:r>
          </w:p>
        </w:tc>
      </w:tr>
      <w:tr w:rsidR="00B55EF3" w:rsidRPr="004068B6" w14:paraId="1E859F48"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5092A08"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Interim Agreement</w:t>
            </w:r>
          </w:p>
        </w:tc>
        <w:tc>
          <w:tcPr>
            <w:tcW w:w="1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B9E325A"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April 2, 2025</w:t>
            </w:r>
          </w:p>
        </w:tc>
        <w:tc>
          <w:tcPr>
            <w:tcW w:w="53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EFE5813"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40% revenue share from the 75% revenue remaining after the community share on the proof-of-concept; USD $5,000/month basis operation fee for proof-of-concept, +USD $800/month per MW.</w:t>
            </w:r>
          </w:p>
        </w:tc>
      </w:tr>
      <w:tr w:rsidR="00B55EF3" w:rsidRPr="004068B6" w14:paraId="63C66E5B"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73C407C"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SDA</w:t>
            </w:r>
          </w:p>
        </w:tc>
        <w:tc>
          <w:tcPr>
            <w:tcW w:w="1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D8298C9"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May 16, 2025</w:t>
            </w:r>
          </w:p>
        </w:tc>
        <w:tc>
          <w:tcPr>
            <w:tcW w:w="53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62C124B"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 xml:space="preserve">8% net Bitcoin mining revenue; USD $875/month operations fee per container; negotiated under duress </w:t>
            </w:r>
            <w:r w:rsidRPr="004068B6">
              <w:rPr>
                <w:rFonts w:ascii="Palatino Linotype" w:hAnsi="Palatino Linotype"/>
                <w:sz w:val="20"/>
                <w:szCs w:val="20"/>
              </w:rPr>
              <w:lastRenderedPageBreak/>
              <w:t>following Tyler Macpherson’s “calculated tactic” termination</w:t>
            </w:r>
          </w:p>
        </w:tc>
      </w:tr>
      <w:tr w:rsidR="00B55EF3" w:rsidRPr="004068B6" w14:paraId="36B41ED9"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E849238"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lastRenderedPageBreak/>
              <w:t>Addendum No. 1</w:t>
            </w:r>
          </w:p>
        </w:tc>
        <w:tc>
          <w:tcPr>
            <w:tcW w:w="1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EEA3D2B"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July 3, 2025</w:t>
            </w:r>
          </w:p>
        </w:tc>
        <w:tc>
          <w:tcPr>
            <w:tcW w:w="53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B3977C3"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35% revenue share for NRG Bloom container; Community 25%; TON 40%; operations fee confirmed at $875/month</w:t>
            </w:r>
          </w:p>
        </w:tc>
      </w:tr>
    </w:tbl>
    <w:p w14:paraId="37104EB6" w14:textId="77777777" w:rsidR="00B55EF3" w:rsidRPr="004068B6" w:rsidRDefault="00000000">
      <w:pPr>
        <w:spacing w:before="120" w:after="200"/>
        <w:rPr>
          <w:rFonts w:ascii="Palatino Linotype" w:hAnsi="Palatino Linotype"/>
          <w:sz w:val="20"/>
          <w:szCs w:val="20"/>
        </w:rPr>
      </w:pPr>
      <w:r w:rsidRPr="004068B6">
        <w:rPr>
          <w:rFonts w:ascii="Palatino Linotype" w:hAnsi="Palatino Linotype"/>
          <w:b/>
          <w:bCs/>
          <w:sz w:val="20"/>
          <w:szCs w:val="20"/>
        </w:rPr>
        <w:t xml:space="preserve">Note on the Axxela opportunity: </w:t>
      </w:r>
      <w:r w:rsidRPr="004068B6">
        <w:rPr>
          <w:rFonts w:ascii="Palatino Linotype" w:hAnsi="Palatino Linotype"/>
          <w:sz w:val="20"/>
          <w:szCs w:val="20"/>
        </w:rPr>
        <w:t>Axxela Group and the Ogboinbiri project are distinct commercial relationships. NRG Bloom introduced Axxela to TON after meeting with Axxela in early February 2025, with the objective of jointly developing a second site — TON as the CAPEX provider, NRG Bloom as site management. TON’s circumvention of this introduction is addressed in Section B.4 below.</w:t>
      </w:r>
    </w:p>
    <w:p w14:paraId="07A87AD5" w14:textId="77777777" w:rsidR="00B55EF3" w:rsidRPr="00922659" w:rsidRDefault="00000000">
      <w:pPr>
        <w:pStyle w:val="Heading2"/>
        <w:rPr>
          <w:rFonts w:ascii="Palatino Linotype" w:hAnsi="Palatino Linotype"/>
          <w:color w:val="00B050"/>
          <w:sz w:val="20"/>
          <w:szCs w:val="20"/>
        </w:rPr>
      </w:pPr>
      <w:r w:rsidRPr="00922659">
        <w:rPr>
          <w:rFonts w:ascii="Palatino Linotype" w:hAnsi="Palatino Linotype"/>
          <w:color w:val="00B050"/>
          <w:sz w:val="20"/>
          <w:szCs w:val="20"/>
        </w:rPr>
        <w:t>B.2 The Pattern of Conduct</w:t>
      </w:r>
    </w:p>
    <w:p w14:paraId="657CE145" w14:textId="77777777" w:rsidR="00B55EF3" w:rsidRPr="004068B6" w:rsidRDefault="00000000">
      <w:pPr>
        <w:spacing w:after="120"/>
        <w:rPr>
          <w:rFonts w:ascii="Palatino Linotype" w:hAnsi="Palatino Linotype"/>
          <w:sz w:val="20"/>
          <w:szCs w:val="20"/>
        </w:rPr>
      </w:pPr>
      <w:r w:rsidRPr="004068B6">
        <w:rPr>
          <w:rFonts w:ascii="Palatino Linotype" w:hAnsi="Palatino Linotype"/>
          <w:sz w:val="20"/>
          <w:szCs w:val="20"/>
        </w:rPr>
        <w:t>Following execution of these agreements, TON engaged in a systematic pattern of conduct designed to marginalise NRG Bloom and ultimately remove it from the venture:</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1400"/>
        <w:gridCol w:w="3000"/>
        <w:gridCol w:w="2560"/>
      </w:tblGrid>
      <w:tr w:rsidR="00B55EF3" w:rsidRPr="004068B6" w14:paraId="131DDF83" w14:textId="77777777">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02DAEE22" w14:textId="77777777" w:rsidR="00B55EF3" w:rsidRPr="00922659" w:rsidRDefault="00000000">
            <w:pPr>
              <w:rPr>
                <w:rFonts w:ascii="Palatino Linotype" w:hAnsi="Palatino Linotype"/>
                <w:color w:val="00B050"/>
                <w:sz w:val="20"/>
                <w:szCs w:val="20"/>
              </w:rPr>
            </w:pPr>
            <w:r w:rsidRPr="00922659">
              <w:rPr>
                <w:rFonts w:ascii="Palatino Linotype" w:hAnsi="Palatino Linotype"/>
                <w:b/>
                <w:bCs/>
                <w:color w:val="00B050"/>
                <w:sz w:val="20"/>
                <w:szCs w:val="20"/>
              </w:rPr>
              <w:t>Event</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23EE4E91" w14:textId="77777777" w:rsidR="00B55EF3" w:rsidRPr="00922659" w:rsidRDefault="00000000">
            <w:pPr>
              <w:rPr>
                <w:rFonts w:ascii="Palatino Linotype" w:hAnsi="Palatino Linotype"/>
                <w:color w:val="00B050"/>
                <w:sz w:val="20"/>
                <w:szCs w:val="20"/>
              </w:rPr>
            </w:pPr>
            <w:r w:rsidRPr="00922659">
              <w:rPr>
                <w:rFonts w:ascii="Palatino Linotype" w:hAnsi="Palatino Linotype"/>
                <w:b/>
                <w:bCs/>
                <w:color w:val="00B050"/>
                <w:sz w:val="20"/>
                <w:szCs w:val="20"/>
              </w:rPr>
              <w:t>Date</w:t>
            </w:r>
          </w:p>
        </w:tc>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0848DDB5" w14:textId="77777777" w:rsidR="00B55EF3" w:rsidRPr="00922659" w:rsidRDefault="00000000">
            <w:pPr>
              <w:rPr>
                <w:rFonts w:ascii="Palatino Linotype" w:hAnsi="Palatino Linotype"/>
                <w:color w:val="00B050"/>
                <w:sz w:val="20"/>
                <w:szCs w:val="20"/>
              </w:rPr>
            </w:pPr>
            <w:r w:rsidRPr="00922659">
              <w:rPr>
                <w:rFonts w:ascii="Palatino Linotype" w:hAnsi="Palatino Linotype"/>
                <w:b/>
                <w:bCs/>
                <w:color w:val="00B050"/>
                <w:sz w:val="20"/>
                <w:szCs w:val="20"/>
              </w:rPr>
              <w:t>Significance</w:t>
            </w:r>
          </w:p>
        </w:tc>
        <w:tc>
          <w:tcPr>
            <w:tcW w:w="2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6E6E28BD" w14:textId="77777777" w:rsidR="00B55EF3" w:rsidRPr="00922659" w:rsidRDefault="00000000">
            <w:pPr>
              <w:rPr>
                <w:rFonts w:ascii="Palatino Linotype" w:hAnsi="Palatino Linotype"/>
                <w:color w:val="00B050"/>
                <w:sz w:val="20"/>
                <w:szCs w:val="20"/>
              </w:rPr>
            </w:pPr>
            <w:r w:rsidRPr="00922659">
              <w:rPr>
                <w:rFonts w:ascii="Palatino Linotype" w:hAnsi="Palatino Linotype"/>
                <w:b/>
                <w:bCs/>
                <w:color w:val="00B050"/>
                <w:sz w:val="20"/>
                <w:szCs w:val="20"/>
              </w:rPr>
              <w:t>Evidence</w:t>
            </w:r>
          </w:p>
        </w:tc>
      </w:tr>
      <w:tr w:rsidR="00B55EF3" w:rsidRPr="004068B6" w14:paraId="6B54EB2B"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7C145A03"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JV Agreement signed at 25% revenue and $9,000/month</w:t>
            </w:r>
          </w:p>
        </w:tc>
        <w:tc>
          <w:tcPr>
            <w:tcW w:w="1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3CE127C"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Feb 19, 2025</w:t>
            </w:r>
          </w:p>
        </w:tc>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3A80062"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Baseline — NRG Bloom’s original contractual value</w:t>
            </w:r>
          </w:p>
        </w:tc>
        <w:tc>
          <w:tcPr>
            <w:tcW w:w="25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F236134"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JV Agreement, Section 3–4</w:t>
            </w:r>
          </w:p>
        </w:tc>
      </w:tr>
      <w:tr w:rsidR="00B55EF3" w:rsidRPr="004068B6" w14:paraId="1B253157"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3CEC450"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Tyler and Jeff inspect NRG Bloom’s container</w:t>
            </w:r>
          </w:p>
        </w:tc>
        <w:tc>
          <w:tcPr>
            <w:tcW w:w="1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E4DF5ED"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Feb 21, 2025</w:t>
            </w:r>
          </w:p>
        </w:tc>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FE035CD"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TON’s representatives visited and examined the container without raising safety concerns; took photos and videos</w:t>
            </w:r>
          </w:p>
        </w:tc>
        <w:tc>
          <w:tcPr>
            <w:tcW w:w="25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77CD5DC"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WhatsApp group chat, Feb 21</w:t>
            </w:r>
          </w:p>
        </w:tc>
      </w:tr>
      <w:tr w:rsidR="00B55EF3" w:rsidRPr="004068B6" w14:paraId="50930417"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7CE296F7"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Second agreement at ~30% effective revenue and $5,000–$7,400/month management fee</w:t>
            </w:r>
          </w:p>
        </w:tc>
        <w:tc>
          <w:tcPr>
            <w:tcW w:w="1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BC6830F"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Apr 2, 2025</w:t>
            </w:r>
          </w:p>
        </w:tc>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99E9DB5"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First devaluation — still within reasonable range</w:t>
            </w:r>
          </w:p>
        </w:tc>
        <w:tc>
          <w:tcPr>
            <w:tcW w:w="25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514F8A1"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April 2 Agreement</w:t>
            </w:r>
          </w:p>
        </w:tc>
      </w:tr>
      <w:tr w:rsidR="00B55EF3" w:rsidRPr="004068B6" w14:paraId="042BF48D"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310CAC3"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TON declines Obrikom deal without informing NRG Bloom</w:t>
            </w:r>
          </w:p>
        </w:tc>
        <w:tc>
          <w:tcPr>
            <w:tcW w:w="1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63F5D9A"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Apr 11–21, 2025</w:t>
            </w:r>
          </w:p>
        </w:tc>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7F6B0B7"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Pattern of exclusion begins; TON communicates directly with Nelson, bypassing NRG Bloom</w:t>
            </w:r>
          </w:p>
        </w:tc>
        <w:tc>
          <w:tcPr>
            <w:tcW w:w="25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7DE6392A"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WhatsApp, Marley–Makir</w:t>
            </w:r>
          </w:p>
        </w:tc>
      </w:tr>
      <w:tr w:rsidR="00B55EF3" w:rsidRPr="004068B6" w14:paraId="591F7C1F"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551751B"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Tyler’s “calculated tactic” termination</w:t>
            </w:r>
          </w:p>
        </w:tc>
        <w:tc>
          <w:tcPr>
            <w:tcW w:w="1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10642E8"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May 12, 2025</w:t>
            </w:r>
          </w:p>
        </w:tc>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8419DAB"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Sent night before Makir’s confirmed flight to Edmonton; later admitted to be a deliberate pressure tactic (witnessed by Julie Peeters); TON’s Feb 20 response does not deny this admission</w:t>
            </w:r>
          </w:p>
        </w:tc>
        <w:tc>
          <w:tcPr>
            <w:tcW w:w="25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784A655C"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WhatsApp, Tyler–Makir</w:t>
            </w:r>
          </w:p>
        </w:tc>
      </w:tr>
      <w:tr w:rsidR="00B55EF3" w:rsidRPr="004068B6" w14:paraId="24EC0CA1"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7E99B49"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SDA signed at 8% revenue and $875/month</w:t>
            </w:r>
          </w:p>
        </w:tc>
        <w:tc>
          <w:tcPr>
            <w:tcW w:w="1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7F71A2F"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May 16, 2025</w:t>
            </w:r>
          </w:p>
        </w:tc>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DB44EAB"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~10x devaluation from original terms; negotiated under duress in Edmonton after Makir and Julie flew on non-refundable $2,600 ticket</w:t>
            </w:r>
          </w:p>
        </w:tc>
        <w:tc>
          <w:tcPr>
            <w:tcW w:w="25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93AEEE8"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SDA</w:t>
            </w:r>
          </w:p>
        </w:tc>
      </w:tr>
      <w:tr w:rsidR="00B55EF3" w:rsidRPr="004068B6" w14:paraId="2ED13710"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EAD47DF"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lastRenderedPageBreak/>
              <w:t>TON systematically excludes NRG Bloom from Axxela PPA correspondence</w:t>
            </w:r>
          </w:p>
        </w:tc>
        <w:tc>
          <w:tcPr>
            <w:tcW w:w="1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8AADF26"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Jun 24–Jul 2, 2025</w:t>
            </w:r>
          </w:p>
        </w:tc>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E3F83EE"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9-day circumvention window — draft PPA sent to TON only on Jun 27; NRG Bloom excluded from all emails</w:t>
            </w:r>
          </w:p>
        </w:tc>
        <w:tc>
          <w:tcPr>
            <w:tcW w:w="25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5B5141C"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Gmail correspondence (documented email-by-email)</w:t>
            </w:r>
          </w:p>
        </w:tc>
      </w:tr>
      <w:tr w:rsidR="00B55EF3" w:rsidRPr="004068B6" w14:paraId="63ED13CE"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B3A1FD4"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Marley tells Axxela “NRG Bloom is fully aware”</w:t>
            </w:r>
          </w:p>
        </w:tc>
        <w:tc>
          <w:tcPr>
            <w:tcW w:w="1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FE3D8A3"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Jul 4, 2025</w:t>
            </w:r>
          </w:p>
        </w:tc>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2FAD024"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False statement to a third party — NRG Bloom had been excluded from 9 days of PPA correspondence and was not aware</w:t>
            </w:r>
          </w:p>
        </w:tc>
        <w:tc>
          <w:tcPr>
            <w:tcW w:w="25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B0FB059"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Gmail, Jul 4; Makir’s Jul 11 objection</w:t>
            </w:r>
          </w:p>
        </w:tc>
      </w:tr>
      <w:tr w:rsidR="00B55EF3" w:rsidRPr="004068B6" w14:paraId="6381EE53"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91DBEFF"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TON refuses to pay operations fee</w:t>
            </w:r>
          </w:p>
        </w:tc>
        <w:tc>
          <w:tcPr>
            <w:tcW w:w="1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5350B77"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Dec 4, 2025</w:t>
            </w:r>
          </w:p>
        </w:tc>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7F058B00"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 xml:space="preserve">Marley: </w:t>
            </w:r>
            <w:r w:rsidRPr="004068B6">
              <w:rPr>
                <w:rFonts w:ascii="Palatino Linotype" w:hAnsi="Palatino Linotype"/>
                <w:i/>
                <w:iCs/>
                <w:sz w:val="20"/>
                <w:szCs w:val="20"/>
              </w:rPr>
              <w:t>“Management fee — not sure this site needs to get online”</w:t>
            </w:r>
            <w:r w:rsidRPr="004068B6">
              <w:rPr>
                <w:rFonts w:ascii="Palatino Linotype" w:hAnsi="Palatino Linotype"/>
                <w:sz w:val="20"/>
                <w:szCs w:val="20"/>
              </w:rPr>
              <w:t xml:space="preserve"> — creates financial pressure on NRG Bloom operations</w:t>
            </w:r>
          </w:p>
        </w:tc>
        <w:tc>
          <w:tcPr>
            <w:tcW w:w="25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2B276BD"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WhatsApp, Marley–Makir</w:t>
            </w:r>
          </w:p>
        </w:tc>
      </w:tr>
      <w:tr w:rsidR="00B55EF3" w:rsidRPr="004068B6" w14:paraId="494368AF"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AA0D2CD"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TON imposes unilateral holiday deadlines</w:t>
            </w:r>
          </w:p>
        </w:tc>
        <w:tc>
          <w:tcPr>
            <w:tcW w:w="1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6C3C47C"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Dec 23, 2025</w:t>
            </w:r>
          </w:p>
        </w:tc>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F55A3DC"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Action items with Dec 24–30 deadlines for third-party review in rural Nigeria during Christmas; marked “OVERDUE” on Dec 31</w:t>
            </w:r>
          </w:p>
        </w:tc>
        <w:tc>
          <w:tcPr>
            <w:tcW w:w="25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37C0E76"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Email, Jeff Jespersen</w:t>
            </w:r>
          </w:p>
        </w:tc>
      </w:tr>
      <w:tr w:rsidR="00B55EF3" w:rsidRPr="004068B6" w14:paraId="45865F07"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A13D4AC"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Agnes’s formal complaint re TON communication failure</w:t>
            </w:r>
          </w:p>
        </w:tc>
        <w:tc>
          <w:tcPr>
            <w:tcW w:w="1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5D28ED2"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Dec 23, 2025</w:t>
            </w:r>
          </w:p>
        </w:tc>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9BDDAF2"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 xml:space="preserve">Agnes: </w:t>
            </w:r>
            <w:r w:rsidRPr="004068B6">
              <w:rPr>
                <w:rFonts w:ascii="Palatino Linotype" w:hAnsi="Palatino Linotype"/>
                <w:i/>
                <w:iCs/>
                <w:sz w:val="20"/>
                <w:szCs w:val="20"/>
              </w:rPr>
              <w:t>“I am not comfortable with a lack of response or failure to pass information”</w:t>
            </w:r>
            <w:r w:rsidRPr="004068B6">
              <w:rPr>
                <w:rFonts w:ascii="Palatino Linotype" w:hAnsi="Palatino Linotype"/>
                <w:sz w:val="20"/>
                <w:szCs w:val="20"/>
              </w:rPr>
              <w:t xml:space="preserve"> — electrician team on-site for 3 weeks with no go-ahead from TON</w:t>
            </w:r>
          </w:p>
        </w:tc>
        <w:tc>
          <w:tcPr>
            <w:tcW w:w="25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385226C"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WhatsApp, Marley–Agnes–Makir group</w:t>
            </w:r>
          </w:p>
        </w:tc>
      </w:tr>
      <w:tr w:rsidR="00B55EF3" w:rsidRPr="004068B6" w14:paraId="4FDF84A5"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EF8688F"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TON pays NRG Bloom staff directly</w:t>
            </w:r>
          </w:p>
        </w:tc>
        <w:tc>
          <w:tcPr>
            <w:tcW w:w="1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AD007B3"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Jan 2026</w:t>
            </w:r>
          </w:p>
        </w:tc>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9C41807"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Bypasses NRG Bloom’s management structure, undermining operational authority; TON’s own Feb 20 response admits this</w:t>
            </w:r>
          </w:p>
        </w:tc>
        <w:tc>
          <w:tcPr>
            <w:tcW w:w="25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2DA6849"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TON’s Response Letter, Section 2.3</w:t>
            </w:r>
          </w:p>
        </w:tc>
      </w:tr>
      <w:tr w:rsidR="00B55EF3" w:rsidRPr="004068B6" w14:paraId="1440304D"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CF09CC3"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Jeff: “We’ll get back to you on next steps”</w:t>
            </w:r>
          </w:p>
        </w:tc>
        <w:tc>
          <w:tcPr>
            <w:tcW w:w="1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5BAB11E"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Feb 9, 2026</w:t>
            </w:r>
          </w:p>
        </w:tc>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629A24B" w14:textId="3ED225F3" w:rsidR="00B55EF3" w:rsidRPr="004068B6" w:rsidRDefault="00000000">
            <w:pPr>
              <w:rPr>
                <w:rFonts w:ascii="Palatino Linotype" w:hAnsi="Palatino Linotype"/>
                <w:sz w:val="20"/>
                <w:szCs w:val="20"/>
              </w:rPr>
            </w:pPr>
            <w:r w:rsidRPr="004068B6">
              <w:rPr>
                <w:rFonts w:ascii="Palatino Linotype" w:hAnsi="Palatino Linotype"/>
                <w:sz w:val="20"/>
                <w:szCs w:val="20"/>
              </w:rPr>
              <w:t>No indication of termination</w:t>
            </w:r>
            <w:r w:rsidR="00922659">
              <w:rPr>
                <w:rFonts w:ascii="Palatino Linotype" w:hAnsi="Palatino Linotype"/>
                <w:sz w:val="20"/>
                <w:szCs w:val="20"/>
              </w:rPr>
              <w:t xml:space="preserve"> asures of collaboration</w:t>
            </w:r>
            <w:r w:rsidRPr="004068B6">
              <w:rPr>
                <w:rFonts w:ascii="Palatino Linotype" w:hAnsi="Palatino Linotype"/>
                <w:sz w:val="20"/>
                <w:szCs w:val="20"/>
              </w:rPr>
              <w:t>; 3 days later, TON terminates</w:t>
            </w:r>
          </w:p>
        </w:tc>
        <w:tc>
          <w:tcPr>
            <w:tcW w:w="25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643DB48"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Email, Jeff Jespersen</w:t>
            </w:r>
          </w:p>
        </w:tc>
      </w:tr>
      <w:tr w:rsidR="00B55EF3" w:rsidRPr="004068B6" w14:paraId="6A757056"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7D89B6F6"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Termination</w:t>
            </w:r>
          </w:p>
        </w:tc>
        <w:tc>
          <w:tcPr>
            <w:tcW w:w="1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73CF607"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Feb 12, 2026</w:t>
            </w:r>
          </w:p>
        </w:tc>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8B72B5B"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TON terminates at the precise point when mining returns were about to flow to NRG Bloom — containers deployed, transformer installed, electrical remediation accepted by NRG Bloom, new container commitment made, institutional equity partner (Canurta) introduced</w:t>
            </w:r>
          </w:p>
        </w:tc>
        <w:tc>
          <w:tcPr>
            <w:tcW w:w="25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6072078" w14:textId="77777777" w:rsidR="00B55EF3" w:rsidRPr="004068B6" w:rsidRDefault="00000000">
            <w:pPr>
              <w:rPr>
                <w:rFonts w:ascii="Palatino Linotype" w:hAnsi="Palatino Linotype"/>
                <w:sz w:val="20"/>
                <w:szCs w:val="20"/>
              </w:rPr>
            </w:pPr>
            <w:r w:rsidRPr="004068B6">
              <w:rPr>
                <w:rFonts w:ascii="Palatino Linotype" w:hAnsi="Palatino Linotype"/>
                <w:sz w:val="20"/>
                <w:szCs w:val="20"/>
              </w:rPr>
              <w:t>Termination letter</w:t>
            </w:r>
          </w:p>
        </w:tc>
      </w:tr>
    </w:tbl>
    <w:p w14:paraId="60EE9F98" w14:textId="77777777" w:rsidR="00922659" w:rsidRDefault="00922659">
      <w:pPr>
        <w:pStyle w:val="Heading2"/>
        <w:rPr>
          <w:rFonts w:ascii="Palatino Linotype" w:hAnsi="Palatino Linotype"/>
          <w:color w:val="00B050"/>
          <w:sz w:val="20"/>
          <w:szCs w:val="20"/>
        </w:rPr>
      </w:pPr>
    </w:p>
    <w:p w14:paraId="09866D6D" w14:textId="77777777" w:rsidR="00922659" w:rsidRDefault="00922659">
      <w:pPr>
        <w:pStyle w:val="Heading2"/>
        <w:rPr>
          <w:rFonts w:ascii="Palatino Linotype" w:hAnsi="Palatino Linotype"/>
          <w:color w:val="00B050"/>
          <w:sz w:val="20"/>
          <w:szCs w:val="20"/>
        </w:rPr>
      </w:pPr>
    </w:p>
    <w:p w14:paraId="511037E6" w14:textId="77777777" w:rsidR="00922659" w:rsidRDefault="00922659">
      <w:pPr>
        <w:pStyle w:val="Heading2"/>
        <w:rPr>
          <w:rFonts w:ascii="Palatino Linotype" w:hAnsi="Palatino Linotype"/>
          <w:color w:val="00B050"/>
          <w:sz w:val="20"/>
          <w:szCs w:val="20"/>
        </w:rPr>
      </w:pPr>
    </w:p>
    <w:p w14:paraId="36637DCB" w14:textId="0520A96C" w:rsidR="00B55EF3" w:rsidRPr="00922659" w:rsidRDefault="00000000">
      <w:pPr>
        <w:pStyle w:val="Heading2"/>
        <w:rPr>
          <w:rFonts w:ascii="Palatino Linotype" w:hAnsi="Palatino Linotype"/>
          <w:color w:val="00B050"/>
          <w:sz w:val="20"/>
          <w:szCs w:val="20"/>
        </w:rPr>
      </w:pPr>
      <w:r w:rsidRPr="00922659">
        <w:rPr>
          <w:rFonts w:ascii="Palatino Linotype" w:hAnsi="Palatino Linotype"/>
          <w:color w:val="00B050"/>
          <w:sz w:val="20"/>
          <w:szCs w:val="20"/>
        </w:rPr>
        <w:t>B.3 Facts TON Has Not Denied</w:t>
      </w:r>
    </w:p>
    <w:p w14:paraId="21DD9377" w14:textId="77777777" w:rsidR="00B55EF3" w:rsidRPr="00922659" w:rsidRDefault="00000000">
      <w:pPr>
        <w:spacing w:after="120"/>
        <w:rPr>
          <w:rFonts w:ascii="Palatino Linotype" w:hAnsi="Palatino Linotype"/>
          <w:sz w:val="20"/>
          <w:szCs w:val="20"/>
        </w:rPr>
      </w:pPr>
      <w:r w:rsidRPr="00922659">
        <w:rPr>
          <w:rFonts w:ascii="Palatino Linotype" w:hAnsi="Palatino Linotype"/>
          <w:sz w:val="20"/>
          <w:szCs w:val="20"/>
        </w:rPr>
        <w:t>In its Response Letter (February 20, 2026) and Reply to Counter-Response (February 23, 2026), TON did not deny — and cannot explain — the following:</w:t>
      </w:r>
    </w:p>
    <w:p w14:paraId="4C6EF0FB" w14:textId="77777777" w:rsidR="00B55EF3" w:rsidRPr="00922659" w:rsidRDefault="00000000" w:rsidP="00922659">
      <w:pPr>
        <w:numPr>
          <w:ilvl w:val="0"/>
          <w:numId w:val="6"/>
        </w:numPr>
        <w:pBdr>
          <w:top w:val="nil"/>
          <w:left w:val="nil"/>
          <w:bottom w:val="nil"/>
          <w:right w:val="nil"/>
          <w:between w:val="nil"/>
        </w:pBdr>
        <w:spacing w:after="80"/>
        <w:jc w:val="both"/>
        <w:rPr>
          <w:rFonts w:ascii="Palatino Linotype" w:hAnsi="Palatino Linotype"/>
          <w:sz w:val="20"/>
          <w:szCs w:val="20"/>
        </w:rPr>
      </w:pPr>
      <w:r w:rsidRPr="00922659">
        <w:rPr>
          <w:rFonts w:ascii="Palatino Linotype" w:hAnsi="Palatino Linotype"/>
          <w:b/>
          <w:bCs/>
          <w:color w:val="00B050"/>
          <w:sz w:val="20"/>
          <w:szCs w:val="20"/>
        </w:rPr>
        <w:t xml:space="preserve">NRG Bloom originated the opportunity. </w:t>
      </w:r>
      <w:r w:rsidRPr="00922659">
        <w:rPr>
          <w:rFonts w:ascii="Palatino Linotype" w:hAnsi="Palatino Linotype"/>
          <w:color w:val="000000"/>
          <w:sz w:val="20"/>
          <w:szCs w:val="20"/>
        </w:rPr>
        <w:t>TON’s own response “acknowledges that NRG Bloom played a role in introducing the Ogboinbiri opportunity and facilitating initial stakeholder introductions.”</w:t>
      </w:r>
    </w:p>
    <w:p w14:paraId="571FA23A" w14:textId="77777777" w:rsidR="00B55EF3" w:rsidRPr="00922659" w:rsidRDefault="00000000" w:rsidP="00922659">
      <w:pPr>
        <w:numPr>
          <w:ilvl w:val="0"/>
          <w:numId w:val="6"/>
        </w:numPr>
        <w:pBdr>
          <w:top w:val="nil"/>
          <w:left w:val="nil"/>
          <w:bottom w:val="nil"/>
          <w:right w:val="nil"/>
          <w:between w:val="nil"/>
        </w:pBdr>
        <w:spacing w:after="80"/>
        <w:jc w:val="both"/>
        <w:rPr>
          <w:rFonts w:ascii="Palatino Linotype" w:hAnsi="Palatino Linotype"/>
          <w:sz w:val="20"/>
          <w:szCs w:val="20"/>
        </w:rPr>
      </w:pPr>
      <w:r w:rsidRPr="00922659">
        <w:rPr>
          <w:rFonts w:ascii="Palatino Linotype" w:hAnsi="Palatino Linotype"/>
          <w:b/>
          <w:bCs/>
          <w:color w:val="00B050"/>
          <w:sz w:val="20"/>
          <w:szCs w:val="20"/>
        </w:rPr>
        <w:t xml:space="preserve">The “calculated tactic” admission. </w:t>
      </w:r>
      <w:r w:rsidRPr="00922659">
        <w:rPr>
          <w:rFonts w:ascii="Palatino Linotype" w:hAnsi="Palatino Linotype"/>
          <w:color w:val="000000"/>
          <w:sz w:val="20"/>
          <w:szCs w:val="20"/>
        </w:rPr>
        <w:t>TON does not deny Tyler Macpherson made this statement. It recharacterises it as “commercial negotiations routinely involve the exercise of contractual rights” — which is itself an acknowledgment that the termination was used as a negotiating tool, not a genuine decision.</w:t>
      </w:r>
    </w:p>
    <w:p w14:paraId="739F6B20" w14:textId="77777777" w:rsidR="00B55EF3" w:rsidRPr="00922659" w:rsidRDefault="00000000" w:rsidP="00922659">
      <w:pPr>
        <w:numPr>
          <w:ilvl w:val="0"/>
          <w:numId w:val="6"/>
        </w:numPr>
        <w:pBdr>
          <w:top w:val="nil"/>
          <w:left w:val="nil"/>
          <w:bottom w:val="nil"/>
          <w:right w:val="nil"/>
          <w:between w:val="nil"/>
        </w:pBdr>
        <w:spacing w:after="80"/>
        <w:jc w:val="both"/>
        <w:rPr>
          <w:rFonts w:ascii="Palatino Linotype" w:hAnsi="Palatino Linotype"/>
          <w:sz w:val="20"/>
          <w:szCs w:val="20"/>
        </w:rPr>
      </w:pPr>
      <w:r w:rsidRPr="00922659">
        <w:rPr>
          <w:rFonts w:ascii="Palatino Linotype" w:hAnsi="Palatino Linotype"/>
          <w:b/>
          <w:bCs/>
          <w:color w:val="00B050"/>
          <w:sz w:val="20"/>
          <w:szCs w:val="20"/>
        </w:rPr>
        <w:t xml:space="preserve">Marley’s false representation to Axxela. </w:t>
      </w:r>
      <w:r w:rsidRPr="00922659">
        <w:rPr>
          <w:rFonts w:ascii="Palatino Linotype" w:hAnsi="Palatino Linotype"/>
          <w:color w:val="000000"/>
          <w:sz w:val="20"/>
          <w:szCs w:val="20"/>
        </w:rPr>
        <w:t>TON has never denied that Marley told Franklin Umole (Axxela MD) that “NRG Bloom is fully aware” when NRG Bloom was not. TON’s only response is to argue the circumvention claim belongs in Alberta — a jurisdictional deflection, not a factual denial.</w:t>
      </w:r>
    </w:p>
    <w:p w14:paraId="45DDA595" w14:textId="77777777" w:rsidR="00B55EF3" w:rsidRPr="00922659" w:rsidRDefault="00000000" w:rsidP="00922659">
      <w:pPr>
        <w:numPr>
          <w:ilvl w:val="0"/>
          <w:numId w:val="6"/>
        </w:numPr>
        <w:pBdr>
          <w:top w:val="nil"/>
          <w:left w:val="nil"/>
          <w:bottom w:val="nil"/>
          <w:right w:val="nil"/>
          <w:between w:val="nil"/>
        </w:pBdr>
        <w:spacing w:after="80"/>
        <w:jc w:val="both"/>
        <w:rPr>
          <w:rFonts w:ascii="Palatino Linotype" w:hAnsi="Palatino Linotype"/>
          <w:sz w:val="20"/>
          <w:szCs w:val="20"/>
        </w:rPr>
      </w:pPr>
      <w:r w:rsidRPr="00922659">
        <w:rPr>
          <w:rFonts w:ascii="Palatino Linotype" w:hAnsi="Palatino Linotype"/>
          <w:b/>
          <w:bCs/>
          <w:color w:val="00B050"/>
          <w:sz w:val="20"/>
          <w:szCs w:val="20"/>
        </w:rPr>
        <w:t xml:space="preserve">The progressive devaluation. </w:t>
      </w:r>
      <w:r w:rsidRPr="00922659">
        <w:rPr>
          <w:rFonts w:ascii="Palatino Linotype" w:hAnsi="Palatino Linotype"/>
          <w:color w:val="000000"/>
          <w:sz w:val="20"/>
          <w:szCs w:val="20"/>
        </w:rPr>
        <w:t>TON does not deny that NRG Bloom’s terms went from 1MW + $9,000/month (JV Agreement) to ~30% + $5,000–$7,400 (April 2) to 8% + $875 (</w:t>
      </w:r>
      <w:r w:rsidRPr="00922659">
        <w:rPr>
          <w:rFonts w:ascii="Palatino Linotype" w:hAnsi="Palatino Linotype"/>
          <w:sz w:val="20"/>
          <w:szCs w:val="20"/>
        </w:rPr>
        <w:t>SDA</w:t>
      </w:r>
      <w:r w:rsidRPr="00922659">
        <w:rPr>
          <w:rFonts w:ascii="Palatino Linotype" w:hAnsi="Palatino Linotype"/>
          <w:color w:val="000000"/>
          <w:sz w:val="20"/>
          <w:szCs w:val="20"/>
        </w:rPr>
        <w:t>). TON says these were “freely negotiated” — ignoring that each negotiation followed a termination threat.</w:t>
      </w:r>
    </w:p>
    <w:p w14:paraId="632621D0" w14:textId="77777777" w:rsidR="00B55EF3" w:rsidRPr="00922659" w:rsidRDefault="00000000" w:rsidP="00922659">
      <w:pPr>
        <w:numPr>
          <w:ilvl w:val="0"/>
          <w:numId w:val="6"/>
        </w:numPr>
        <w:pBdr>
          <w:top w:val="nil"/>
          <w:left w:val="nil"/>
          <w:bottom w:val="nil"/>
          <w:right w:val="nil"/>
          <w:between w:val="nil"/>
        </w:pBdr>
        <w:spacing w:after="80"/>
        <w:jc w:val="both"/>
        <w:rPr>
          <w:rFonts w:ascii="Palatino Linotype" w:hAnsi="Palatino Linotype"/>
          <w:sz w:val="20"/>
          <w:szCs w:val="20"/>
        </w:rPr>
      </w:pPr>
      <w:r w:rsidRPr="00922659">
        <w:rPr>
          <w:rFonts w:ascii="Palatino Linotype" w:hAnsi="Palatino Linotype"/>
          <w:b/>
          <w:bCs/>
          <w:color w:val="00B050"/>
          <w:sz w:val="20"/>
          <w:szCs w:val="20"/>
        </w:rPr>
        <w:t xml:space="preserve">Operations fee non-payment. </w:t>
      </w:r>
      <w:r w:rsidRPr="00922659">
        <w:rPr>
          <w:rFonts w:ascii="Palatino Linotype" w:hAnsi="Palatino Linotype"/>
          <w:color w:val="000000"/>
          <w:sz w:val="20"/>
          <w:szCs w:val="20"/>
        </w:rPr>
        <w:t>TON does not deny refusing the fee. It argues the container “was not operational” — a characterisation disputed by the fact that Agnes had 33 miners running in NRG Bloom’s container and TON’s own equipment benefited from NRG Bloom’s security and connectivity infrastructure.</w:t>
      </w:r>
    </w:p>
    <w:p w14:paraId="48EC1CDA" w14:textId="77777777" w:rsidR="00B55EF3" w:rsidRPr="00922659" w:rsidRDefault="00000000" w:rsidP="00922659">
      <w:pPr>
        <w:numPr>
          <w:ilvl w:val="0"/>
          <w:numId w:val="6"/>
        </w:numPr>
        <w:pBdr>
          <w:top w:val="nil"/>
          <w:left w:val="nil"/>
          <w:bottom w:val="nil"/>
          <w:right w:val="nil"/>
          <w:between w:val="nil"/>
        </w:pBdr>
        <w:spacing w:after="80"/>
        <w:jc w:val="both"/>
        <w:rPr>
          <w:rFonts w:ascii="Palatino Linotype" w:hAnsi="Palatino Linotype"/>
          <w:sz w:val="20"/>
          <w:szCs w:val="20"/>
        </w:rPr>
      </w:pPr>
      <w:r w:rsidRPr="00922659">
        <w:rPr>
          <w:rFonts w:ascii="Palatino Linotype" w:hAnsi="Palatino Linotype"/>
          <w:b/>
          <w:bCs/>
          <w:color w:val="00B050"/>
          <w:sz w:val="20"/>
          <w:szCs w:val="20"/>
        </w:rPr>
        <w:t xml:space="preserve">Direct staff payments without authorisation. </w:t>
      </w:r>
      <w:r w:rsidRPr="00922659">
        <w:rPr>
          <w:rFonts w:ascii="Palatino Linotype" w:hAnsi="Palatino Linotype"/>
          <w:color w:val="000000"/>
          <w:sz w:val="20"/>
          <w:szCs w:val="20"/>
        </w:rPr>
        <w:t>TON admits paying NRG Bloom staff directly in January 2026 and attempts to justify it.</w:t>
      </w:r>
    </w:p>
    <w:p w14:paraId="251BAD71" w14:textId="77777777" w:rsidR="00B55EF3" w:rsidRPr="00922659" w:rsidRDefault="00000000" w:rsidP="00922659">
      <w:pPr>
        <w:numPr>
          <w:ilvl w:val="0"/>
          <w:numId w:val="6"/>
        </w:numPr>
        <w:pBdr>
          <w:top w:val="nil"/>
          <w:left w:val="nil"/>
          <w:bottom w:val="nil"/>
          <w:right w:val="nil"/>
          <w:between w:val="nil"/>
        </w:pBdr>
        <w:spacing w:after="80"/>
        <w:jc w:val="both"/>
        <w:rPr>
          <w:rFonts w:ascii="Palatino Linotype" w:hAnsi="Palatino Linotype"/>
          <w:sz w:val="20"/>
          <w:szCs w:val="20"/>
        </w:rPr>
      </w:pPr>
      <w:r w:rsidRPr="00922659">
        <w:rPr>
          <w:rFonts w:ascii="Palatino Linotype" w:hAnsi="Palatino Linotype"/>
          <w:b/>
          <w:bCs/>
          <w:color w:val="00B050"/>
          <w:sz w:val="20"/>
          <w:szCs w:val="20"/>
        </w:rPr>
        <w:t>The timing of termination</w:t>
      </w:r>
      <w:r w:rsidRPr="00922659">
        <w:rPr>
          <w:rFonts w:ascii="Palatino Linotype" w:hAnsi="Palatino Linotype"/>
          <w:b/>
          <w:bCs/>
          <w:color w:val="000000"/>
          <w:sz w:val="20"/>
          <w:szCs w:val="20"/>
        </w:rPr>
        <w:t xml:space="preserve">. </w:t>
      </w:r>
      <w:r w:rsidRPr="00922659">
        <w:rPr>
          <w:rFonts w:ascii="Palatino Linotype" w:hAnsi="Palatino Linotype"/>
          <w:color w:val="000000"/>
          <w:sz w:val="20"/>
          <w:szCs w:val="20"/>
        </w:rPr>
        <w:t>TON offers no explanation for why it terminated three days after Jeff Jespersen’s February 9 email assuring continued collaboration, at the precise moment when NRG Bloom’s contributions had been consumed and revenue was about to commence.</w:t>
      </w:r>
    </w:p>
    <w:p w14:paraId="31D97E26" w14:textId="77777777" w:rsidR="00B55EF3" w:rsidRPr="00922659" w:rsidRDefault="00000000" w:rsidP="00922659">
      <w:pPr>
        <w:numPr>
          <w:ilvl w:val="0"/>
          <w:numId w:val="6"/>
        </w:numPr>
        <w:pBdr>
          <w:top w:val="nil"/>
          <w:left w:val="nil"/>
          <w:bottom w:val="nil"/>
          <w:right w:val="nil"/>
          <w:between w:val="nil"/>
        </w:pBdr>
        <w:spacing w:after="80"/>
        <w:jc w:val="both"/>
        <w:rPr>
          <w:rFonts w:ascii="Palatino Linotype" w:hAnsi="Palatino Linotype"/>
          <w:sz w:val="20"/>
          <w:szCs w:val="20"/>
        </w:rPr>
      </w:pPr>
      <w:r w:rsidRPr="00922659">
        <w:rPr>
          <w:rFonts w:ascii="Palatino Linotype" w:hAnsi="Palatino Linotype"/>
          <w:b/>
          <w:bCs/>
          <w:color w:val="00B050"/>
          <w:sz w:val="20"/>
          <w:szCs w:val="20"/>
        </w:rPr>
        <w:t xml:space="preserve">The Axxela email exclusion. </w:t>
      </w:r>
      <w:r w:rsidRPr="00922659">
        <w:rPr>
          <w:rFonts w:ascii="Palatino Linotype" w:hAnsi="Palatino Linotype"/>
          <w:color w:val="000000"/>
          <w:sz w:val="20"/>
          <w:szCs w:val="20"/>
        </w:rPr>
        <w:t>TON offers no alternative narrative for the 9-day period (June 24 – July 2, 2025) when NRG Bloom was systematically removed from all Axxela PPA correspondence. TON deflects to jurisdiction.</w:t>
      </w:r>
    </w:p>
    <w:p w14:paraId="7FC9572F" w14:textId="77777777" w:rsidR="00B55EF3" w:rsidRPr="00922659" w:rsidRDefault="00000000" w:rsidP="00922659">
      <w:pPr>
        <w:numPr>
          <w:ilvl w:val="0"/>
          <w:numId w:val="6"/>
        </w:numPr>
        <w:pBdr>
          <w:top w:val="nil"/>
          <w:left w:val="nil"/>
          <w:bottom w:val="nil"/>
          <w:right w:val="nil"/>
          <w:between w:val="nil"/>
        </w:pBdr>
        <w:spacing w:after="80"/>
        <w:jc w:val="both"/>
        <w:rPr>
          <w:rFonts w:ascii="Palatino Linotype" w:hAnsi="Palatino Linotype"/>
          <w:sz w:val="20"/>
          <w:szCs w:val="20"/>
        </w:rPr>
      </w:pPr>
      <w:r w:rsidRPr="00922659">
        <w:rPr>
          <w:rFonts w:ascii="Palatino Linotype" w:hAnsi="Palatino Linotype"/>
          <w:b/>
          <w:bCs/>
          <w:color w:val="00B050"/>
          <w:sz w:val="20"/>
          <w:szCs w:val="20"/>
        </w:rPr>
        <w:t xml:space="preserve">The JV Agreement exclusivity clause. </w:t>
      </w:r>
      <w:r w:rsidRPr="00922659">
        <w:rPr>
          <w:rFonts w:ascii="Palatino Linotype" w:hAnsi="Palatino Linotype"/>
          <w:color w:val="000000"/>
          <w:sz w:val="20"/>
          <w:szCs w:val="20"/>
        </w:rPr>
        <w:t>TON’s response makes no reference to the JV Agreement’s Section 5 exclusivity provision (“all current and future Bitcoin mining projects in Nigeria will be done exclusively with NRG BLOOM”). TON’s pursuit of Axxela without NRG Bloom’s participation constitutes a breach of this commitment.</w:t>
      </w:r>
    </w:p>
    <w:p w14:paraId="6A22AF0A" w14:textId="77777777" w:rsidR="00B55EF3" w:rsidRPr="00922659" w:rsidRDefault="00000000" w:rsidP="00922659">
      <w:pPr>
        <w:numPr>
          <w:ilvl w:val="0"/>
          <w:numId w:val="6"/>
        </w:numPr>
        <w:pBdr>
          <w:top w:val="nil"/>
          <w:left w:val="nil"/>
          <w:bottom w:val="nil"/>
          <w:right w:val="nil"/>
          <w:between w:val="nil"/>
        </w:pBdr>
        <w:spacing w:after="80"/>
        <w:jc w:val="both"/>
        <w:rPr>
          <w:rFonts w:ascii="Palatino Linotype" w:hAnsi="Palatino Linotype"/>
          <w:sz w:val="20"/>
          <w:szCs w:val="20"/>
        </w:rPr>
      </w:pPr>
      <w:r w:rsidRPr="00922659">
        <w:rPr>
          <w:rFonts w:ascii="Palatino Linotype" w:hAnsi="Palatino Linotype"/>
          <w:b/>
          <w:bCs/>
          <w:color w:val="00B050"/>
          <w:sz w:val="20"/>
          <w:szCs w:val="20"/>
        </w:rPr>
        <w:t xml:space="preserve">Zero-day termination notice. </w:t>
      </w:r>
      <w:r w:rsidRPr="00922659">
        <w:rPr>
          <w:rFonts w:ascii="Palatino Linotype" w:hAnsi="Palatino Linotype"/>
          <w:color w:val="000000"/>
          <w:sz w:val="20"/>
          <w:szCs w:val="20"/>
        </w:rPr>
        <w:t xml:space="preserve">The original JV Agreement required 90 days’ written notice plus a 30-day cure period. Even the </w:t>
      </w:r>
      <w:r w:rsidRPr="00922659">
        <w:rPr>
          <w:rFonts w:ascii="Palatino Linotype" w:hAnsi="Palatino Linotype"/>
          <w:sz w:val="20"/>
          <w:szCs w:val="20"/>
        </w:rPr>
        <w:t>SDA</w:t>
      </w:r>
      <w:r w:rsidRPr="00922659">
        <w:rPr>
          <w:rFonts w:ascii="Palatino Linotype" w:hAnsi="Palatino Linotype"/>
          <w:color w:val="000000"/>
          <w:sz w:val="20"/>
          <w:szCs w:val="20"/>
        </w:rPr>
        <w:t xml:space="preserve"> required notice. Jeff Jespersen’s February 9 email — “We’re going to take this away, digest it, and get back to you” — demonstrates no warning was given.</w:t>
      </w:r>
    </w:p>
    <w:p w14:paraId="14236C0C" w14:textId="77777777" w:rsidR="00922659" w:rsidRDefault="00922659">
      <w:pPr>
        <w:pStyle w:val="Heading2"/>
      </w:pPr>
    </w:p>
    <w:p w14:paraId="21CE074B" w14:textId="77777777" w:rsidR="00922659" w:rsidRDefault="00922659">
      <w:pPr>
        <w:pStyle w:val="Heading2"/>
      </w:pPr>
    </w:p>
    <w:p w14:paraId="63B90837" w14:textId="77777777" w:rsidR="00922659" w:rsidRDefault="00922659">
      <w:pPr>
        <w:pStyle w:val="Heading2"/>
      </w:pPr>
    </w:p>
    <w:p w14:paraId="4FA21455" w14:textId="77FA987E" w:rsidR="00B55EF3" w:rsidRPr="008704C0" w:rsidRDefault="00000000">
      <w:pPr>
        <w:pStyle w:val="Heading2"/>
        <w:rPr>
          <w:sz w:val="20"/>
          <w:szCs w:val="20"/>
        </w:rPr>
      </w:pPr>
      <w:r w:rsidRPr="008704C0">
        <w:rPr>
          <w:color w:val="00B050"/>
          <w:sz w:val="20"/>
          <w:szCs w:val="20"/>
        </w:rPr>
        <w:t>The Axxela Circumvention</w:t>
      </w:r>
    </w:p>
    <w:p w14:paraId="059FE1C1" w14:textId="77777777" w:rsidR="008704C0" w:rsidRDefault="008704C0" w:rsidP="008704C0">
      <w:pPr>
        <w:spacing w:after="120"/>
        <w:jc w:val="both"/>
        <w:rPr>
          <w:rFonts w:ascii="Palatino Linotype" w:hAnsi="Palatino Linotype"/>
          <w:sz w:val="20"/>
          <w:szCs w:val="20"/>
        </w:rPr>
      </w:pPr>
    </w:p>
    <w:p w14:paraId="50E75DED" w14:textId="5A43E5B3" w:rsidR="008704C0" w:rsidRPr="008704C0" w:rsidRDefault="00000000" w:rsidP="008704C0">
      <w:pPr>
        <w:spacing w:after="120"/>
        <w:jc w:val="both"/>
        <w:rPr>
          <w:rFonts w:ascii="Palatino Linotype" w:hAnsi="Palatino Linotype"/>
          <w:sz w:val="20"/>
          <w:szCs w:val="20"/>
        </w:rPr>
      </w:pPr>
      <w:r w:rsidRPr="008704C0">
        <w:rPr>
          <w:rFonts w:ascii="Palatino Linotype" w:hAnsi="Palatino Linotype"/>
          <w:sz w:val="20"/>
          <w:szCs w:val="20"/>
        </w:rPr>
        <w:t>This warrants separate treatment because of its scale and the strength of the evidence.</w:t>
      </w:r>
    </w:p>
    <w:p w14:paraId="208A3AED" w14:textId="7D024A3C" w:rsidR="008704C0" w:rsidRPr="008704C0" w:rsidRDefault="00000000" w:rsidP="008704C0">
      <w:pPr>
        <w:spacing w:after="120"/>
        <w:jc w:val="both"/>
        <w:rPr>
          <w:rFonts w:ascii="Palatino Linotype" w:hAnsi="Palatino Linotype"/>
          <w:sz w:val="20"/>
          <w:szCs w:val="20"/>
        </w:rPr>
      </w:pPr>
      <w:r w:rsidRPr="008704C0">
        <w:rPr>
          <w:rFonts w:ascii="Palatino Linotype" w:hAnsi="Palatino Linotype"/>
          <w:b/>
          <w:bCs/>
          <w:sz w:val="20"/>
          <w:szCs w:val="20"/>
        </w:rPr>
        <w:t>The Axxela opportunity is worth an estimated USD $5.6 - $15.3 million over five years</w:t>
      </w:r>
      <w:r w:rsidRPr="008704C0">
        <w:rPr>
          <w:rFonts w:ascii="Palatino Linotype" w:hAnsi="Palatino Linotype"/>
          <w:sz w:val="20"/>
          <w:szCs w:val="20"/>
        </w:rPr>
        <w:t xml:space="preserve"> (per TON’s own financial projections). NRG Bloom originated, developed, and negotiated this opportunity over five months before TON circumvented NRG Bloom’s role.</w:t>
      </w:r>
    </w:p>
    <w:p w14:paraId="370B84CC" w14:textId="77777777" w:rsidR="008704C0" w:rsidRDefault="008704C0" w:rsidP="008704C0">
      <w:pPr>
        <w:spacing w:after="80"/>
        <w:jc w:val="both"/>
        <w:rPr>
          <w:rFonts w:ascii="Palatino Linotype" w:hAnsi="Palatino Linotype"/>
          <w:b/>
          <w:bCs/>
          <w:color w:val="00B050"/>
          <w:sz w:val="20"/>
          <w:szCs w:val="20"/>
        </w:rPr>
      </w:pPr>
    </w:p>
    <w:p w14:paraId="53670DD6" w14:textId="536078EA" w:rsidR="00B55EF3" w:rsidRPr="008704C0" w:rsidRDefault="00000000" w:rsidP="008704C0">
      <w:pPr>
        <w:spacing w:after="80"/>
        <w:jc w:val="both"/>
        <w:rPr>
          <w:rFonts w:ascii="Palatino Linotype" w:hAnsi="Palatino Linotype"/>
          <w:b/>
          <w:bCs/>
          <w:color w:val="00B050"/>
          <w:sz w:val="20"/>
          <w:szCs w:val="20"/>
        </w:rPr>
      </w:pPr>
      <w:r w:rsidRPr="008704C0">
        <w:rPr>
          <w:rFonts w:ascii="Palatino Linotype" w:hAnsi="Palatino Linotype"/>
          <w:b/>
          <w:bCs/>
          <w:color w:val="00B050"/>
          <w:sz w:val="20"/>
          <w:szCs w:val="20"/>
        </w:rPr>
        <w:t>Key facts:</w:t>
      </w:r>
    </w:p>
    <w:p w14:paraId="7C2CFFBF" w14:textId="77777777" w:rsidR="008704C0" w:rsidRPr="008704C0" w:rsidRDefault="008704C0" w:rsidP="008704C0">
      <w:pPr>
        <w:spacing w:after="80"/>
        <w:jc w:val="both"/>
        <w:rPr>
          <w:rFonts w:ascii="Palatino Linotype" w:hAnsi="Palatino Linotype"/>
          <w:sz w:val="20"/>
          <w:szCs w:val="20"/>
        </w:rPr>
      </w:pPr>
    </w:p>
    <w:p w14:paraId="338A9CCA" w14:textId="77777777" w:rsidR="00B55EF3" w:rsidRPr="008704C0" w:rsidRDefault="00000000" w:rsidP="008704C0">
      <w:pPr>
        <w:numPr>
          <w:ilvl w:val="0"/>
          <w:numId w:val="5"/>
        </w:numPr>
        <w:pBdr>
          <w:top w:val="nil"/>
          <w:left w:val="nil"/>
          <w:bottom w:val="nil"/>
          <w:right w:val="nil"/>
          <w:between w:val="nil"/>
        </w:pBdr>
        <w:spacing w:after="60"/>
        <w:jc w:val="both"/>
        <w:rPr>
          <w:rFonts w:ascii="Palatino Linotype" w:hAnsi="Palatino Linotype"/>
          <w:sz w:val="20"/>
          <w:szCs w:val="20"/>
        </w:rPr>
      </w:pPr>
      <w:r w:rsidRPr="008704C0">
        <w:rPr>
          <w:rFonts w:ascii="Palatino Linotype" w:hAnsi="Palatino Linotype"/>
          <w:b/>
          <w:bCs/>
          <w:color w:val="000000"/>
          <w:sz w:val="20"/>
          <w:szCs w:val="20"/>
        </w:rPr>
        <w:t xml:space="preserve">February 4, 2025: </w:t>
      </w:r>
      <w:r w:rsidRPr="008704C0">
        <w:rPr>
          <w:rFonts w:ascii="Palatino Linotype" w:hAnsi="Palatino Linotype"/>
          <w:color w:val="000000"/>
          <w:sz w:val="20"/>
          <w:szCs w:val="20"/>
        </w:rPr>
        <w:t>Axxela cold-emailed NRG Bloom directly (info@nrgbloom.com). TON had zero involvement in originating this relationship.</w:t>
      </w:r>
    </w:p>
    <w:p w14:paraId="67ADC740" w14:textId="77777777" w:rsidR="00B55EF3" w:rsidRPr="008704C0" w:rsidRDefault="00000000" w:rsidP="008704C0">
      <w:pPr>
        <w:numPr>
          <w:ilvl w:val="0"/>
          <w:numId w:val="5"/>
        </w:numPr>
        <w:pBdr>
          <w:top w:val="nil"/>
          <w:left w:val="nil"/>
          <w:bottom w:val="nil"/>
          <w:right w:val="nil"/>
          <w:between w:val="nil"/>
        </w:pBdr>
        <w:spacing w:after="60"/>
        <w:jc w:val="both"/>
        <w:rPr>
          <w:rFonts w:ascii="Palatino Linotype" w:hAnsi="Palatino Linotype"/>
          <w:sz w:val="20"/>
          <w:szCs w:val="20"/>
        </w:rPr>
      </w:pPr>
      <w:r w:rsidRPr="008704C0">
        <w:rPr>
          <w:rFonts w:ascii="Palatino Linotype" w:hAnsi="Palatino Linotype"/>
          <w:b/>
          <w:bCs/>
          <w:color w:val="000000"/>
          <w:sz w:val="20"/>
          <w:szCs w:val="20"/>
        </w:rPr>
        <w:t xml:space="preserve">February 7 and 25, 2025: </w:t>
      </w:r>
      <w:r w:rsidRPr="008704C0">
        <w:rPr>
          <w:rFonts w:ascii="Palatino Linotype" w:hAnsi="Palatino Linotype"/>
          <w:color w:val="000000"/>
          <w:sz w:val="20"/>
          <w:szCs w:val="20"/>
        </w:rPr>
        <w:t>NRG Bloom met Axxela at their Lagos offices — first Makir alone (with Nelson), then presenting to Franklin Umole (MD). Axxela’s own meeting minutes describe TON as “investors from Canada” who were “invited to see” NRG Bloom’s facility.</w:t>
      </w:r>
    </w:p>
    <w:p w14:paraId="10C1C23D" w14:textId="77777777" w:rsidR="00B55EF3" w:rsidRPr="008704C0" w:rsidRDefault="00000000" w:rsidP="008704C0">
      <w:pPr>
        <w:numPr>
          <w:ilvl w:val="0"/>
          <w:numId w:val="5"/>
        </w:numPr>
        <w:pBdr>
          <w:top w:val="nil"/>
          <w:left w:val="nil"/>
          <w:bottom w:val="nil"/>
          <w:right w:val="nil"/>
          <w:between w:val="nil"/>
        </w:pBdr>
        <w:spacing w:after="60"/>
        <w:jc w:val="both"/>
        <w:rPr>
          <w:rFonts w:ascii="Palatino Linotype" w:hAnsi="Palatino Linotype"/>
          <w:sz w:val="20"/>
          <w:szCs w:val="20"/>
        </w:rPr>
      </w:pPr>
      <w:r w:rsidRPr="008704C0">
        <w:rPr>
          <w:rFonts w:ascii="Palatino Linotype" w:hAnsi="Palatino Linotype"/>
          <w:b/>
          <w:bCs/>
          <w:color w:val="000000"/>
          <w:sz w:val="20"/>
          <w:szCs w:val="20"/>
        </w:rPr>
        <w:t xml:space="preserve">April 22, 2025: </w:t>
      </w:r>
      <w:r w:rsidRPr="008704C0">
        <w:rPr>
          <w:rFonts w:ascii="Palatino Linotype" w:hAnsi="Palatino Linotype"/>
          <w:color w:val="000000"/>
          <w:sz w:val="20"/>
          <w:szCs w:val="20"/>
        </w:rPr>
        <w:t>Makir proposed the $0.03/kWh rate to Axxela — the exact rate that became the confirmed deal price. TON was not on any of these emails.</w:t>
      </w:r>
    </w:p>
    <w:p w14:paraId="7445456B" w14:textId="77777777" w:rsidR="00B55EF3" w:rsidRPr="008704C0" w:rsidRDefault="00000000" w:rsidP="008704C0">
      <w:pPr>
        <w:numPr>
          <w:ilvl w:val="0"/>
          <w:numId w:val="5"/>
        </w:numPr>
        <w:pBdr>
          <w:top w:val="nil"/>
          <w:left w:val="nil"/>
          <w:bottom w:val="nil"/>
          <w:right w:val="nil"/>
          <w:between w:val="nil"/>
        </w:pBdr>
        <w:spacing w:after="60"/>
        <w:jc w:val="both"/>
        <w:rPr>
          <w:rFonts w:ascii="Palatino Linotype" w:hAnsi="Palatino Linotype"/>
          <w:sz w:val="20"/>
          <w:szCs w:val="20"/>
        </w:rPr>
      </w:pPr>
      <w:r w:rsidRPr="008704C0">
        <w:rPr>
          <w:rFonts w:ascii="Palatino Linotype" w:hAnsi="Palatino Linotype"/>
          <w:b/>
          <w:bCs/>
          <w:color w:val="000000"/>
          <w:sz w:val="20"/>
          <w:szCs w:val="20"/>
        </w:rPr>
        <w:t xml:space="preserve">June 12, 2025: </w:t>
      </w:r>
      <w:r w:rsidRPr="008704C0">
        <w:rPr>
          <w:rFonts w:ascii="Palatino Linotype" w:hAnsi="Palatino Linotype"/>
          <w:color w:val="000000"/>
          <w:sz w:val="20"/>
          <w:szCs w:val="20"/>
        </w:rPr>
        <w:t>Axxela confirmed the $0.03/kWh rate to both Tyler and Makir — acknowledging both parties as equal partners.</w:t>
      </w:r>
    </w:p>
    <w:p w14:paraId="208520F8" w14:textId="77777777" w:rsidR="00B55EF3" w:rsidRPr="008704C0" w:rsidRDefault="00000000" w:rsidP="008704C0">
      <w:pPr>
        <w:numPr>
          <w:ilvl w:val="0"/>
          <w:numId w:val="5"/>
        </w:numPr>
        <w:pBdr>
          <w:top w:val="nil"/>
          <w:left w:val="nil"/>
          <w:bottom w:val="nil"/>
          <w:right w:val="nil"/>
          <w:between w:val="nil"/>
        </w:pBdr>
        <w:spacing w:after="60"/>
        <w:jc w:val="both"/>
        <w:rPr>
          <w:rFonts w:ascii="Palatino Linotype" w:hAnsi="Palatino Linotype"/>
          <w:sz w:val="20"/>
          <w:szCs w:val="20"/>
        </w:rPr>
      </w:pPr>
      <w:r w:rsidRPr="008704C0">
        <w:rPr>
          <w:rFonts w:ascii="Palatino Linotype" w:hAnsi="Palatino Linotype"/>
          <w:b/>
          <w:bCs/>
          <w:color w:val="000000"/>
          <w:sz w:val="20"/>
          <w:szCs w:val="20"/>
        </w:rPr>
        <w:t>June 24–July 2, 2025 (the 9-day circumvention window):</w:t>
      </w:r>
    </w:p>
    <w:p w14:paraId="37B5072A" w14:textId="77777777" w:rsidR="008704C0" w:rsidRPr="008704C0" w:rsidRDefault="008704C0" w:rsidP="008704C0">
      <w:pPr>
        <w:pBdr>
          <w:top w:val="nil"/>
          <w:left w:val="nil"/>
          <w:bottom w:val="nil"/>
          <w:right w:val="nil"/>
          <w:between w:val="nil"/>
        </w:pBdr>
        <w:spacing w:after="60"/>
        <w:ind w:left="720"/>
        <w:jc w:val="both"/>
        <w:rPr>
          <w:rFonts w:ascii="Palatino Linotype" w:hAnsi="Palatino Linotype"/>
          <w:sz w:val="20"/>
          <w:szCs w:val="20"/>
        </w:rPr>
      </w:pPr>
    </w:p>
    <w:p w14:paraId="2E4E90C1" w14:textId="77777777" w:rsidR="00B55EF3" w:rsidRPr="008704C0" w:rsidRDefault="00000000" w:rsidP="008704C0">
      <w:pPr>
        <w:numPr>
          <w:ilvl w:val="1"/>
          <w:numId w:val="7"/>
        </w:numPr>
        <w:pBdr>
          <w:top w:val="nil"/>
          <w:left w:val="nil"/>
          <w:bottom w:val="nil"/>
          <w:right w:val="nil"/>
          <w:between w:val="nil"/>
        </w:pBdr>
        <w:spacing w:after="60"/>
        <w:jc w:val="both"/>
        <w:rPr>
          <w:rFonts w:ascii="Palatino Linotype" w:hAnsi="Palatino Linotype"/>
          <w:sz w:val="20"/>
          <w:szCs w:val="20"/>
        </w:rPr>
      </w:pPr>
      <w:r w:rsidRPr="008704C0">
        <w:rPr>
          <w:rFonts w:ascii="Palatino Linotype" w:hAnsi="Palatino Linotype"/>
          <w:color w:val="000000"/>
          <w:sz w:val="20"/>
          <w:szCs w:val="20"/>
        </w:rPr>
        <w:t>June 24: David Billay (TON) takes over Axxela correspondence. Makir removed from all emails.</w:t>
      </w:r>
    </w:p>
    <w:p w14:paraId="1713FA9B" w14:textId="77777777" w:rsidR="00B55EF3" w:rsidRPr="008704C0" w:rsidRDefault="00000000" w:rsidP="008704C0">
      <w:pPr>
        <w:numPr>
          <w:ilvl w:val="1"/>
          <w:numId w:val="7"/>
        </w:numPr>
        <w:pBdr>
          <w:top w:val="nil"/>
          <w:left w:val="nil"/>
          <w:bottom w:val="nil"/>
          <w:right w:val="nil"/>
          <w:between w:val="nil"/>
        </w:pBdr>
        <w:spacing w:after="60"/>
        <w:jc w:val="both"/>
        <w:rPr>
          <w:rFonts w:ascii="Palatino Linotype" w:hAnsi="Palatino Linotype"/>
          <w:sz w:val="20"/>
          <w:szCs w:val="20"/>
        </w:rPr>
      </w:pPr>
      <w:r w:rsidRPr="008704C0">
        <w:rPr>
          <w:rFonts w:ascii="Palatino Linotype" w:hAnsi="Palatino Linotype"/>
          <w:color w:val="000000"/>
          <w:sz w:val="20"/>
          <w:szCs w:val="20"/>
        </w:rPr>
        <w:t>June 25: TON sends DD checklist and Gantt chart to Axxela. Makir not included.</w:t>
      </w:r>
    </w:p>
    <w:p w14:paraId="7481D283" w14:textId="77777777" w:rsidR="00B55EF3" w:rsidRPr="008704C0" w:rsidRDefault="00000000" w:rsidP="008704C0">
      <w:pPr>
        <w:numPr>
          <w:ilvl w:val="1"/>
          <w:numId w:val="7"/>
        </w:numPr>
        <w:pBdr>
          <w:top w:val="nil"/>
          <w:left w:val="nil"/>
          <w:bottom w:val="nil"/>
          <w:right w:val="nil"/>
          <w:between w:val="nil"/>
        </w:pBdr>
        <w:spacing w:after="60"/>
        <w:jc w:val="both"/>
        <w:rPr>
          <w:rFonts w:ascii="Palatino Linotype" w:hAnsi="Palatino Linotype"/>
          <w:sz w:val="20"/>
          <w:szCs w:val="20"/>
        </w:rPr>
      </w:pPr>
      <w:r w:rsidRPr="008704C0">
        <w:rPr>
          <w:rFonts w:ascii="Palatino Linotype" w:hAnsi="Palatino Linotype"/>
          <w:color w:val="000000"/>
          <w:sz w:val="20"/>
          <w:szCs w:val="20"/>
        </w:rPr>
        <w:t>June 27: Draft PPA sent to TON only. NRG Bloom excluded from the key document.</w:t>
      </w:r>
    </w:p>
    <w:p w14:paraId="3375F35C" w14:textId="77777777" w:rsidR="00B55EF3" w:rsidRPr="008704C0" w:rsidRDefault="00000000" w:rsidP="008704C0">
      <w:pPr>
        <w:numPr>
          <w:ilvl w:val="1"/>
          <w:numId w:val="7"/>
        </w:numPr>
        <w:pBdr>
          <w:top w:val="nil"/>
          <w:left w:val="nil"/>
          <w:bottom w:val="nil"/>
          <w:right w:val="nil"/>
          <w:between w:val="nil"/>
        </w:pBdr>
        <w:spacing w:after="60"/>
        <w:jc w:val="both"/>
        <w:rPr>
          <w:rFonts w:ascii="Palatino Linotype" w:hAnsi="Palatino Linotype"/>
          <w:sz w:val="20"/>
          <w:szCs w:val="20"/>
        </w:rPr>
      </w:pPr>
      <w:r w:rsidRPr="008704C0">
        <w:rPr>
          <w:rFonts w:ascii="Palatino Linotype" w:hAnsi="Palatino Linotype"/>
          <w:color w:val="000000"/>
          <w:sz w:val="20"/>
          <w:szCs w:val="20"/>
        </w:rPr>
        <w:t>July 2: Axxela follows up with TON. Makir still excluded.</w:t>
      </w:r>
    </w:p>
    <w:p w14:paraId="4F05EF5B" w14:textId="77777777" w:rsidR="00B55EF3" w:rsidRPr="008704C0" w:rsidRDefault="00000000" w:rsidP="008704C0">
      <w:pPr>
        <w:numPr>
          <w:ilvl w:val="1"/>
          <w:numId w:val="7"/>
        </w:numPr>
        <w:pBdr>
          <w:top w:val="nil"/>
          <w:left w:val="nil"/>
          <w:bottom w:val="nil"/>
          <w:right w:val="nil"/>
          <w:between w:val="nil"/>
        </w:pBdr>
        <w:spacing w:after="60"/>
        <w:jc w:val="both"/>
        <w:rPr>
          <w:rFonts w:ascii="Palatino Linotype" w:hAnsi="Palatino Linotype"/>
          <w:sz w:val="20"/>
          <w:szCs w:val="20"/>
        </w:rPr>
      </w:pPr>
      <w:r w:rsidRPr="008704C0">
        <w:rPr>
          <w:rFonts w:ascii="Palatino Linotype" w:hAnsi="Palatino Linotype"/>
          <w:color w:val="000000"/>
          <w:sz w:val="20"/>
          <w:szCs w:val="20"/>
        </w:rPr>
        <w:t>July 3: Nana (Axxela Head of BD) re-includes Makir, requests both company profiles for Board approval.</w:t>
      </w:r>
    </w:p>
    <w:p w14:paraId="2AE881B4" w14:textId="77777777" w:rsidR="008704C0" w:rsidRPr="008704C0" w:rsidRDefault="008704C0" w:rsidP="008704C0">
      <w:pPr>
        <w:pBdr>
          <w:top w:val="nil"/>
          <w:left w:val="nil"/>
          <w:bottom w:val="nil"/>
          <w:right w:val="nil"/>
          <w:between w:val="nil"/>
        </w:pBdr>
        <w:spacing w:after="60"/>
        <w:ind w:left="1440"/>
        <w:jc w:val="both"/>
        <w:rPr>
          <w:rFonts w:ascii="Palatino Linotype" w:hAnsi="Palatino Linotype"/>
          <w:sz w:val="20"/>
          <w:szCs w:val="20"/>
        </w:rPr>
      </w:pPr>
    </w:p>
    <w:p w14:paraId="31BC5538" w14:textId="77777777" w:rsidR="00B55EF3" w:rsidRPr="008704C0" w:rsidRDefault="00000000" w:rsidP="008704C0">
      <w:pPr>
        <w:numPr>
          <w:ilvl w:val="0"/>
          <w:numId w:val="5"/>
        </w:numPr>
        <w:pBdr>
          <w:top w:val="nil"/>
          <w:left w:val="nil"/>
          <w:bottom w:val="nil"/>
          <w:right w:val="nil"/>
          <w:between w:val="nil"/>
        </w:pBdr>
        <w:spacing w:after="60"/>
        <w:jc w:val="both"/>
        <w:rPr>
          <w:rFonts w:ascii="Palatino Linotype" w:hAnsi="Palatino Linotype"/>
          <w:sz w:val="20"/>
          <w:szCs w:val="20"/>
        </w:rPr>
      </w:pPr>
      <w:r w:rsidRPr="008704C0">
        <w:rPr>
          <w:rFonts w:ascii="Palatino Linotype" w:hAnsi="Palatino Linotype"/>
          <w:b/>
          <w:bCs/>
          <w:color w:val="000000"/>
          <w:sz w:val="20"/>
          <w:szCs w:val="20"/>
        </w:rPr>
        <w:t xml:space="preserve">July 4, 2025: </w:t>
      </w:r>
      <w:r w:rsidRPr="008704C0">
        <w:rPr>
          <w:rFonts w:ascii="Palatino Linotype" w:hAnsi="Palatino Linotype"/>
          <w:color w:val="000000"/>
          <w:sz w:val="20"/>
          <w:szCs w:val="20"/>
        </w:rPr>
        <w:t xml:space="preserve">Marley emails Franklin Umole: “NRG Bloom is fully aware.” This statement was </w:t>
      </w:r>
      <w:r w:rsidRPr="008704C0">
        <w:rPr>
          <w:rFonts w:ascii="Palatino Linotype" w:hAnsi="Palatino Linotype"/>
          <w:b/>
          <w:bCs/>
          <w:color w:val="000000"/>
          <w:sz w:val="20"/>
          <w:szCs w:val="20"/>
        </w:rPr>
        <w:t>provably false</w:t>
      </w:r>
      <w:r w:rsidRPr="008704C0">
        <w:rPr>
          <w:rFonts w:ascii="Palatino Linotype" w:hAnsi="Palatino Linotype"/>
          <w:color w:val="000000"/>
          <w:sz w:val="20"/>
          <w:szCs w:val="20"/>
        </w:rPr>
        <w:t xml:space="preserve"> — Makir had been excluded from PPA correspondence for 9 days.</w:t>
      </w:r>
    </w:p>
    <w:p w14:paraId="211E130C" w14:textId="77777777" w:rsidR="00B55EF3" w:rsidRPr="008704C0" w:rsidRDefault="00000000" w:rsidP="008704C0">
      <w:pPr>
        <w:numPr>
          <w:ilvl w:val="0"/>
          <w:numId w:val="5"/>
        </w:numPr>
        <w:pBdr>
          <w:top w:val="nil"/>
          <w:left w:val="nil"/>
          <w:bottom w:val="nil"/>
          <w:right w:val="nil"/>
          <w:between w:val="nil"/>
        </w:pBdr>
        <w:spacing w:after="60"/>
        <w:jc w:val="both"/>
        <w:rPr>
          <w:rFonts w:ascii="Palatino Linotype" w:hAnsi="Palatino Linotype"/>
          <w:sz w:val="20"/>
          <w:szCs w:val="20"/>
        </w:rPr>
      </w:pPr>
      <w:r w:rsidRPr="008704C0">
        <w:rPr>
          <w:rFonts w:ascii="Palatino Linotype" w:hAnsi="Palatino Linotype"/>
          <w:b/>
          <w:bCs/>
          <w:color w:val="000000"/>
          <w:sz w:val="20"/>
          <w:szCs w:val="20"/>
        </w:rPr>
        <w:t xml:space="preserve">July 7, 2025: </w:t>
      </w:r>
      <w:r w:rsidRPr="008704C0">
        <w:rPr>
          <w:rFonts w:ascii="Palatino Linotype" w:hAnsi="Palatino Linotype"/>
          <w:color w:val="000000"/>
          <w:sz w:val="20"/>
          <w:szCs w:val="20"/>
        </w:rPr>
        <w:t>Nana separately forwards the PPA to Makir — suggesting even Axxela’s own staff recognised NRG Bloom had been improperly excluded.</w:t>
      </w:r>
    </w:p>
    <w:p w14:paraId="43FC29D7" w14:textId="53E01BCC" w:rsidR="003F48D6" w:rsidRDefault="00000000" w:rsidP="008704C0">
      <w:pPr>
        <w:numPr>
          <w:ilvl w:val="0"/>
          <w:numId w:val="5"/>
        </w:numPr>
        <w:pBdr>
          <w:top w:val="nil"/>
          <w:left w:val="nil"/>
          <w:bottom w:val="nil"/>
          <w:right w:val="nil"/>
          <w:between w:val="nil"/>
        </w:pBdr>
        <w:spacing w:after="60"/>
        <w:jc w:val="both"/>
        <w:rPr>
          <w:rFonts w:ascii="Palatino Linotype" w:hAnsi="Palatino Linotype"/>
          <w:sz w:val="20"/>
          <w:szCs w:val="20"/>
        </w:rPr>
      </w:pPr>
      <w:r w:rsidRPr="008704C0">
        <w:rPr>
          <w:rFonts w:ascii="Palatino Linotype" w:hAnsi="Palatino Linotype"/>
          <w:b/>
          <w:bCs/>
          <w:color w:val="000000"/>
          <w:sz w:val="20"/>
          <w:szCs w:val="20"/>
        </w:rPr>
        <w:t xml:space="preserve">July 11, 2025: </w:t>
      </w:r>
      <w:r w:rsidRPr="008704C0">
        <w:rPr>
          <w:rFonts w:ascii="Palatino Linotype" w:hAnsi="Palatino Linotype"/>
          <w:color w:val="000000"/>
          <w:sz w:val="20"/>
          <w:szCs w:val="20"/>
        </w:rPr>
        <w:t>Makir discovers the circumvention and objects formally in a lawyer-approved email: “I’m requesting that all direct communications with Franklin or other members of Axxela cease immediately unless NRG Bloom is included.”</w:t>
      </w:r>
    </w:p>
    <w:p w14:paraId="62948D3A" w14:textId="77777777" w:rsidR="008704C0" w:rsidRPr="008704C0" w:rsidRDefault="008704C0" w:rsidP="008704C0">
      <w:pPr>
        <w:pBdr>
          <w:top w:val="nil"/>
          <w:left w:val="nil"/>
          <w:bottom w:val="nil"/>
          <w:right w:val="nil"/>
          <w:between w:val="nil"/>
        </w:pBdr>
        <w:spacing w:after="60"/>
        <w:ind w:left="720"/>
        <w:jc w:val="both"/>
        <w:rPr>
          <w:rFonts w:ascii="Palatino Linotype" w:hAnsi="Palatino Linotype"/>
          <w:sz w:val="20"/>
          <w:szCs w:val="20"/>
        </w:rPr>
      </w:pPr>
    </w:p>
    <w:p w14:paraId="7A02B97C" w14:textId="74D25462" w:rsidR="00B55EF3" w:rsidRPr="008704C0" w:rsidRDefault="00000000" w:rsidP="008704C0">
      <w:pPr>
        <w:spacing w:before="120" w:after="120"/>
        <w:jc w:val="both"/>
        <w:rPr>
          <w:rFonts w:ascii="Palatino Linotype" w:hAnsi="Palatino Linotype"/>
          <w:sz w:val="20"/>
          <w:szCs w:val="20"/>
        </w:rPr>
      </w:pPr>
      <w:r w:rsidRPr="008704C0">
        <w:rPr>
          <w:rFonts w:ascii="Palatino Linotype" w:hAnsi="Palatino Linotype"/>
          <w:sz w:val="20"/>
          <w:szCs w:val="20"/>
        </w:rPr>
        <w:t>TON offered NRG Bloom a $1,000/MW finder’s fee ($10,000 total) for a relationship worth USD $5.6 -$15.3 million. As Makir documented at the time: “The $1k/MW fee you’re offering, $10k total, is just 0.065% of that value.”</w:t>
      </w:r>
    </w:p>
    <w:p w14:paraId="31E68D95" w14:textId="77777777" w:rsidR="003F48D6" w:rsidRPr="008704C0" w:rsidRDefault="003F48D6" w:rsidP="008704C0">
      <w:pPr>
        <w:spacing w:before="120" w:after="120"/>
        <w:jc w:val="both"/>
        <w:rPr>
          <w:sz w:val="20"/>
          <w:szCs w:val="20"/>
        </w:rPr>
      </w:pPr>
    </w:p>
    <w:p w14:paraId="5592CEAB" w14:textId="77777777" w:rsidR="00B55EF3" w:rsidRPr="008704C0" w:rsidRDefault="00000000" w:rsidP="008704C0">
      <w:pPr>
        <w:spacing w:after="240"/>
        <w:jc w:val="both"/>
        <w:rPr>
          <w:rFonts w:ascii="Palatino Linotype" w:hAnsi="Palatino Linotype"/>
          <w:sz w:val="20"/>
          <w:szCs w:val="20"/>
        </w:rPr>
      </w:pPr>
      <w:r w:rsidRPr="008704C0">
        <w:rPr>
          <w:rFonts w:ascii="Palatino Linotype" w:hAnsi="Palatino Linotype"/>
          <w:b/>
          <w:bCs/>
          <w:color w:val="00B050"/>
          <w:sz w:val="20"/>
          <w:szCs w:val="20"/>
        </w:rPr>
        <w:t>NRG Bloom’s introducer role is established beyond dispute by Axxela’s own records.</w:t>
      </w:r>
      <w:r w:rsidRPr="008704C0">
        <w:rPr>
          <w:rFonts w:ascii="Palatino Linotype" w:hAnsi="Palatino Linotype"/>
          <w:color w:val="00B050"/>
          <w:sz w:val="20"/>
          <w:szCs w:val="20"/>
        </w:rPr>
        <w:t xml:space="preserve"> </w:t>
      </w:r>
      <w:r w:rsidRPr="008704C0">
        <w:rPr>
          <w:rFonts w:ascii="Palatino Linotype" w:hAnsi="Palatino Linotype"/>
          <w:sz w:val="20"/>
          <w:szCs w:val="20"/>
        </w:rPr>
        <w:t>The circumvention is documented email-by-email. Marley’s false representation to Axxela is documented in writing. NRG Bloom’s immediate objection is documented in writing with lawyer’s approval.</w:t>
      </w:r>
    </w:p>
    <w:p w14:paraId="0E21BF75" w14:textId="77777777" w:rsidR="00B55EF3" w:rsidRPr="008704C0" w:rsidRDefault="00000000">
      <w:pPr>
        <w:pStyle w:val="Heading1"/>
        <w:rPr>
          <w:rFonts w:ascii="Palatino Linotype" w:hAnsi="Palatino Linotype"/>
          <w:color w:val="00B050"/>
          <w:sz w:val="20"/>
          <w:szCs w:val="20"/>
        </w:rPr>
      </w:pPr>
      <w:r w:rsidRPr="008704C0">
        <w:rPr>
          <w:rFonts w:ascii="Palatino Linotype" w:hAnsi="Palatino Linotype"/>
          <w:color w:val="00B050"/>
          <w:sz w:val="20"/>
          <w:szCs w:val="20"/>
        </w:rPr>
        <w:t>D. LEGAL BASIS</w:t>
      </w:r>
    </w:p>
    <w:p w14:paraId="3FBAA7F9" w14:textId="77777777" w:rsidR="00B55EF3" w:rsidRPr="008704C0" w:rsidRDefault="00000000">
      <w:pPr>
        <w:spacing w:after="120"/>
        <w:rPr>
          <w:rFonts w:ascii="Palatino Linotype" w:hAnsi="Palatino Linotype"/>
          <w:sz w:val="20"/>
          <w:szCs w:val="20"/>
        </w:rPr>
      </w:pPr>
      <w:r w:rsidRPr="008704C0">
        <w:rPr>
          <w:rFonts w:ascii="Palatino Linotype" w:hAnsi="Palatino Linotype"/>
          <w:sz w:val="20"/>
          <w:szCs w:val="20"/>
        </w:rPr>
        <w:t>NRG Bloom’s claims are founded on the following causes of action, each supported by Nigerian case law authority:</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4000"/>
        <w:gridCol w:w="3560"/>
      </w:tblGrid>
      <w:tr w:rsidR="00B55EF3" w:rsidRPr="008704C0" w14:paraId="3DEEEAC4" w14:textId="77777777">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76CAC555" w14:textId="77777777" w:rsidR="00B55EF3" w:rsidRPr="008704C0" w:rsidRDefault="00000000">
            <w:pPr>
              <w:rPr>
                <w:rFonts w:ascii="Palatino Linotype" w:hAnsi="Palatino Linotype"/>
                <w:color w:val="00B050"/>
                <w:sz w:val="20"/>
                <w:szCs w:val="20"/>
              </w:rPr>
            </w:pPr>
            <w:r w:rsidRPr="008704C0">
              <w:rPr>
                <w:rFonts w:ascii="Palatino Linotype" w:hAnsi="Palatino Linotype"/>
                <w:b/>
                <w:bCs/>
                <w:color w:val="00B050"/>
                <w:sz w:val="20"/>
                <w:szCs w:val="20"/>
              </w:rPr>
              <w:t>Cause of Action</w:t>
            </w:r>
          </w:p>
        </w:tc>
        <w:tc>
          <w:tcPr>
            <w:tcW w:w="4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5C0151D4" w14:textId="77777777" w:rsidR="00B55EF3" w:rsidRPr="008704C0" w:rsidRDefault="00000000">
            <w:pPr>
              <w:rPr>
                <w:rFonts w:ascii="Palatino Linotype" w:hAnsi="Palatino Linotype"/>
                <w:color w:val="00B050"/>
                <w:sz w:val="20"/>
                <w:szCs w:val="20"/>
              </w:rPr>
            </w:pPr>
            <w:r w:rsidRPr="008704C0">
              <w:rPr>
                <w:rFonts w:ascii="Palatino Linotype" w:hAnsi="Palatino Linotype"/>
                <w:b/>
                <w:bCs/>
                <w:color w:val="00B050"/>
                <w:sz w:val="20"/>
                <w:szCs w:val="20"/>
              </w:rPr>
              <w:t>Legal Basis</w:t>
            </w:r>
          </w:p>
        </w:tc>
        <w:tc>
          <w:tcPr>
            <w:tcW w:w="3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39AD06E9" w14:textId="77777777" w:rsidR="00B55EF3" w:rsidRPr="008704C0" w:rsidRDefault="00000000">
            <w:pPr>
              <w:rPr>
                <w:rFonts w:ascii="Palatino Linotype" w:hAnsi="Palatino Linotype"/>
                <w:color w:val="00B050"/>
                <w:sz w:val="20"/>
                <w:szCs w:val="20"/>
              </w:rPr>
            </w:pPr>
            <w:r w:rsidRPr="008704C0">
              <w:rPr>
                <w:rFonts w:ascii="Palatino Linotype" w:hAnsi="Palatino Linotype"/>
                <w:b/>
                <w:bCs/>
                <w:color w:val="00B050"/>
                <w:sz w:val="20"/>
                <w:szCs w:val="20"/>
              </w:rPr>
              <w:t>Authority</w:t>
            </w:r>
          </w:p>
        </w:tc>
      </w:tr>
      <w:tr w:rsidR="00B55EF3" w:rsidRPr="008704C0" w14:paraId="56C182ED"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1B13E0B" w14:textId="77777777" w:rsidR="00B55EF3" w:rsidRPr="008704C0" w:rsidRDefault="00000000">
            <w:pPr>
              <w:rPr>
                <w:rFonts w:ascii="Palatino Linotype" w:hAnsi="Palatino Linotype"/>
                <w:sz w:val="20"/>
                <w:szCs w:val="20"/>
              </w:rPr>
            </w:pPr>
            <w:r w:rsidRPr="008704C0">
              <w:rPr>
                <w:rFonts w:ascii="Palatino Linotype" w:hAnsi="Palatino Linotype"/>
                <w:b/>
                <w:bCs/>
                <w:sz w:val="20"/>
                <w:szCs w:val="20"/>
              </w:rPr>
              <w:t>Breach of contract</w:t>
            </w:r>
          </w:p>
        </w:tc>
        <w:tc>
          <w:tcPr>
            <w:tcW w:w="4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7A5E17E" w14:textId="77777777" w:rsidR="00B55EF3" w:rsidRPr="008704C0" w:rsidRDefault="00000000">
            <w:pPr>
              <w:rPr>
                <w:rFonts w:ascii="Palatino Linotype" w:hAnsi="Palatino Linotype"/>
                <w:sz w:val="20"/>
                <w:szCs w:val="20"/>
              </w:rPr>
            </w:pPr>
            <w:r w:rsidRPr="008704C0">
              <w:rPr>
                <w:rFonts w:ascii="Palatino Linotype" w:hAnsi="Palatino Linotype"/>
                <w:sz w:val="20"/>
                <w:szCs w:val="20"/>
              </w:rPr>
              <w:t>TON failed to pay agreed operations fees ($875/month) and revenue share; terminated without complying with notice requirements; breached JV Agreement exclusivity clause</w:t>
            </w:r>
          </w:p>
        </w:tc>
        <w:tc>
          <w:tcPr>
            <w:tcW w:w="35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1C89324" w14:textId="77777777" w:rsidR="00B55EF3" w:rsidRPr="008704C0" w:rsidRDefault="00000000">
            <w:pPr>
              <w:rPr>
                <w:rFonts w:ascii="Palatino Linotype" w:hAnsi="Palatino Linotype"/>
                <w:sz w:val="20"/>
                <w:szCs w:val="20"/>
              </w:rPr>
            </w:pPr>
            <w:r w:rsidRPr="008704C0">
              <w:rPr>
                <w:rFonts w:ascii="Palatino Linotype" w:hAnsi="Palatino Linotype"/>
                <w:i/>
                <w:iCs/>
                <w:sz w:val="20"/>
                <w:szCs w:val="20"/>
              </w:rPr>
              <w:t>Agbanelo v. UBN Plc</w:t>
            </w:r>
            <w:r w:rsidRPr="008704C0">
              <w:rPr>
                <w:rFonts w:ascii="Palatino Linotype" w:hAnsi="Palatino Linotype"/>
                <w:sz w:val="20"/>
                <w:szCs w:val="20"/>
              </w:rPr>
              <w:t xml:space="preserve"> (2000) 7 NWLR (Pt. 666) 534; </w:t>
            </w:r>
            <w:r w:rsidRPr="008704C0">
              <w:rPr>
                <w:rFonts w:ascii="Palatino Linotype" w:hAnsi="Palatino Linotype"/>
                <w:i/>
                <w:iCs/>
                <w:sz w:val="20"/>
                <w:szCs w:val="20"/>
              </w:rPr>
              <w:t>Globe Spinning Mills v. Reliance</w:t>
            </w:r>
            <w:r w:rsidRPr="008704C0">
              <w:rPr>
                <w:rFonts w:ascii="Palatino Linotype" w:hAnsi="Palatino Linotype"/>
                <w:sz w:val="20"/>
                <w:szCs w:val="20"/>
              </w:rPr>
              <w:t xml:space="preserve"> (2017) LPELR-41433(CA)</w:t>
            </w:r>
          </w:p>
        </w:tc>
      </w:tr>
      <w:tr w:rsidR="00B55EF3" w:rsidRPr="008704C0" w14:paraId="01A56F3D"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8C89670" w14:textId="77777777" w:rsidR="00B55EF3" w:rsidRPr="008704C0" w:rsidRDefault="00000000">
            <w:pPr>
              <w:rPr>
                <w:rFonts w:ascii="Palatino Linotype" w:hAnsi="Palatino Linotype"/>
                <w:sz w:val="20"/>
                <w:szCs w:val="20"/>
              </w:rPr>
            </w:pPr>
            <w:r w:rsidRPr="008704C0">
              <w:rPr>
                <w:rFonts w:ascii="Palatino Linotype" w:hAnsi="Palatino Linotype"/>
                <w:b/>
                <w:bCs/>
                <w:sz w:val="20"/>
                <w:szCs w:val="20"/>
              </w:rPr>
              <w:t>Wrongful termination</w:t>
            </w:r>
          </w:p>
        </w:tc>
        <w:tc>
          <w:tcPr>
            <w:tcW w:w="4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2402673" w14:textId="77777777" w:rsidR="00B55EF3" w:rsidRPr="008704C0" w:rsidRDefault="00000000">
            <w:pPr>
              <w:rPr>
                <w:rFonts w:ascii="Palatino Linotype" w:hAnsi="Palatino Linotype"/>
                <w:sz w:val="20"/>
                <w:szCs w:val="20"/>
              </w:rPr>
            </w:pPr>
            <w:r w:rsidRPr="008704C0">
              <w:rPr>
                <w:rFonts w:ascii="Palatino Linotype" w:hAnsi="Palatino Linotype"/>
                <w:sz w:val="20"/>
                <w:szCs w:val="20"/>
              </w:rPr>
              <w:t>Termination exercised in bad faith, on pretextual grounds, at the point when NRG Bloom’s returns were imminent; zero-day notice despite contractual requirements</w:t>
            </w:r>
          </w:p>
        </w:tc>
        <w:tc>
          <w:tcPr>
            <w:tcW w:w="35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20FC280" w14:textId="77777777" w:rsidR="00B55EF3" w:rsidRPr="008704C0" w:rsidRDefault="00000000">
            <w:pPr>
              <w:rPr>
                <w:rFonts w:ascii="Palatino Linotype" w:hAnsi="Palatino Linotype"/>
                <w:sz w:val="20"/>
                <w:szCs w:val="20"/>
              </w:rPr>
            </w:pPr>
            <w:r w:rsidRPr="008704C0">
              <w:rPr>
                <w:rFonts w:ascii="Palatino Linotype" w:hAnsi="Palatino Linotype"/>
                <w:i/>
                <w:iCs/>
                <w:sz w:val="20"/>
                <w:szCs w:val="20"/>
              </w:rPr>
              <w:t>Shell v. Olanrewaju</w:t>
            </w:r>
            <w:r w:rsidRPr="008704C0">
              <w:rPr>
                <w:rFonts w:ascii="Palatino Linotype" w:hAnsi="Palatino Linotype"/>
                <w:sz w:val="20"/>
                <w:szCs w:val="20"/>
              </w:rPr>
              <w:t xml:space="preserve"> (2008) 18 NWLR (Pt. 1118) 1; </w:t>
            </w:r>
            <w:r w:rsidRPr="008704C0">
              <w:rPr>
                <w:rFonts w:ascii="Palatino Linotype" w:hAnsi="Palatino Linotype"/>
                <w:i/>
                <w:iCs/>
                <w:sz w:val="20"/>
                <w:szCs w:val="20"/>
              </w:rPr>
              <w:t>Ogunniyi v. Min. of FCT</w:t>
            </w:r>
            <w:r w:rsidRPr="008704C0">
              <w:rPr>
                <w:rFonts w:ascii="Palatino Linotype" w:hAnsi="Palatino Linotype"/>
                <w:sz w:val="20"/>
                <w:szCs w:val="20"/>
              </w:rPr>
              <w:t xml:space="preserve"> (2014) 18 NWLR (Pt. 1422) 25</w:t>
            </w:r>
          </w:p>
        </w:tc>
      </w:tr>
      <w:tr w:rsidR="00B55EF3" w:rsidRPr="008704C0" w14:paraId="15C5FDFF"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2A91641" w14:textId="77777777" w:rsidR="00B55EF3" w:rsidRPr="008704C0" w:rsidRDefault="00000000">
            <w:pPr>
              <w:rPr>
                <w:rFonts w:ascii="Palatino Linotype" w:hAnsi="Palatino Linotype"/>
                <w:sz w:val="20"/>
                <w:szCs w:val="20"/>
              </w:rPr>
            </w:pPr>
            <w:r w:rsidRPr="008704C0">
              <w:rPr>
                <w:rFonts w:ascii="Palatino Linotype" w:hAnsi="Palatino Linotype"/>
                <w:b/>
                <w:bCs/>
                <w:sz w:val="20"/>
                <w:szCs w:val="20"/>
              </w:rPr>
              <w:t>Fraudulent misrepresentation</w:t>
            </w:r>
          </w:p>
        </w:tc>
        <w:tc>
          <w:tcPr>
            <w:tcW w:w="4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BC7A410" w14:textId="77777777" w:rsidR="00B55EF3" w:rsidRPr="008704C0" w:rsidRDefault="00000000">
            <w:pPr>
              <w:rPr>
                <w:rFonts w:ascii="Palatino Linotype" w:hAnsi="Palatino Linotype"/>
                <w:sz w:val="20"/>
                <w:szCs w:val="20"/>
              </w:rPr>
            </w:pPr>
            <w:r w:rsidRPr="008704C0">
              <w:rPr>
                <w:rFonts w:ascii="Palatino Linotype" w:hAnsi="Palatino Linotype"/>
                <w:sz w:val="20"/>
                <w:szCs w:val="20"/>
              </w:rPr>
              <w:t>Marley Broda’s false statement to Axxela MD that NRG Bloom was “fully aware” — an unambiguous false statement of existing fact that induced third-party reliance and facilitated TON’s direct engagement with Axxela</w:t>
            </w:r>
          </w:p>
        </w:tc>
        <w:tc>
          <w:tcPr>
            <w:tcW w:w="35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4EDE70E" w14:textId="77777777" w:rsidR="00B55EF3" w:rsidRPr="008704C0" w:rsidRDefault="00000000">
            <w:pPr>
              <w:rPr>
                <w:rFonts w:ascii="Palatino Linotype" w:hAnsi="Palatino Linotype"/>
                <w:sz w:val="20"/>
                <w:szCs w:val="20"/>
              </w:rPr>
            </w:pPr>
            <w:r w:rsidRPr="008704C0">
              <w:rPr>
                <w:rFonts w:ascii="Palatino Linotype" w:hAnsi="Palatino Linotype"/>
                <w:i/>
                <w:iCs/>
                <w:sz w:val="20"/>
                <w:szCs w:val="20"/>
              </w:rPr>
              <w:t>Mohammed v. Mohammed</w:t>
            </w:r>
            <w:r w:rsidRPr="008704C0">
              <w:rPr>
                <w:rFonts w:ascii="Palatino Linotype" w:hAnsi="Palatino Linotype"/>
                <w:sz w:val="20"/>
                <w:szCs w:val="20"/>
              </w:rPr>
              <w:t xml:space="preserve"> [2012] 11 NWLR (Pt. 1310) 1; </w:t>
            </w:r>
            <w:r w:rsidRPr="008704C0">
              <w:rPr>
                <w:rFonts w:ascii="Palatino Linotype" w:hAnsi="Palatino Linotype"/>
                <w:i/>
                <w:iCs/>
                <w:sz w:val="20"/>
                <w:szCs w:val="20"/>
              </w:rPr>
              <w:t>Dantata v. Mouktar</w:t>
            </w:r>
            <w:r w:rsidRPr="008704C0">
              <w:rPr>
                <w:rFonts w:ascii="Palatino Linotype" w:hAnsi="Palatino Linotype"/>
                <w:sz w:val="20"/>
                <w:szCs w:val="20"/>
              </w:rPr>
              <w:t xml:space="preserve"> [2012] 14 NWLR (Pt. 1319) 122</w:t>
            </w:r>
          </w:p>
        </w:tc>
      </w:tr>
      <w:tr w:rsidR="00B55EF3" w:rsidRPr="008704C0" w14:paraId="0430EA1F"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7ADE76A" w14:textId="77777777" w:rsidR="00B55EF3" w:rsidRPr="008704C0" w:rsidRDefault="00000000">
            <w:pPr>
              <w:rPr>
                <w:rFonts w:ascii="Palatino Linotype" w:hAnsi="Palatino Linotype"/>
                <w:sz w:val="20"/>
                <w:szCs w:val="20"/>
              </w:rPr>
            </w:pPr>
            <w:r w:rsidRPr="008704C0">
              <w:rPr>
                <w:rFonts w:ascii="Palatino Linotype" w:hAnsi="Palatino Linotype"/>
                <w:b/>
                <w:bCs/>
                <w:sz w:val="20"/>
                <w:szCs w:val="20"/>
              </w:rPr>
              <w:t>Economic duress</w:t>
            </w:r>
          </w:p>
        </w:tc>
        <w:tc>
          <w:tcPr>
            <w:tcW w:w="4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593CE2A" w14:textId="77777777" w:rsidR="00B55EF3" w:rsidRPr="008704C0" w:rsidRDefault="00000000">
            <w:pPr>
              <w:rPr>
                <w:rFonts w:ascii="Palatino Linotype" w:hAnsi="Palatino Linotype"/>
                <w:sz w:val="20"/>
                <w:szCs w:val="20"/>
              </w:rPr>
            </w:pPr>
            <w:r w:rsidRPr="008704C0">
              <w:rPr>
                <w:rFonts w:ascii="Palatino Linotype" w:hAnsi="Palatino Linotype"/>
                <w:sz w:val="20"/>
                <w:szCs w:val="20"/>
              </w:rPr>
              <w:t>Successive reductions from 25% + $9,000/month to 8% + $875/month, each extracted under threat of termination, leaving NRG Bloom with no reasonable alternative after surrendering its Marshall Long partnership</w:t>
            </w:r>
          </w:p>
        </w:tc>
        <w:tc>
          <w:tcPr>
            <w:tcW w:w="35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258D003" w14:textId="77777777" w:rsidR="00B55EF3" w:rsidRPr="008704C0" w:rsidRDefault="00000000">
            <w:pPr>
              <w:rPr>
                <w:rFonts w:ascii="Palatino Linotype" w:hAnsi="Palatino Linotype"/>
                <w:sz w:val="20"/>
                <w:szCs w:val="20"/>
              </w:rPr>
            </w:pPr>
            <w:r w:rsidRPr="008704C0">
              <w:rPr>
                <w:rFonts w:ascii="Palatino Linotype" w:hAnsi="Palatino Linotype"/>
                <w:i/>
                <w:iCs/>
                <w:sz w:val="20"/>
                <w:szCs w:val="20"/>
              </w:rPr>
              <w:t>Obanye v. UBN Plc</w:t>
            </w:r>
            <w:r w:rsidRPr="008704C0">
              <w:rPr>
                <w:rFonts w:ascii="Palatino Linotype" w:hAnsi="Palatino Linotype"/>
                <w:sz w:val="20"/>
                <w:szCs w:val="20"/>
              </w:rPr>
              <w:t xml:space="preserve"> (2018) 17 NWLR (Pt. 1648) 375; </w:t>
            </w:r>
            <w:r w:rsidRPr="008704C0">
              <w:rPr>
                <w:rFonts w:ascii="Palatino Linotype" w:hAnsi="Palatino Linotype"/>
                <w:i/>
                <w:iCs/>
                <w:sz w:val="20"/>
                <w:szCs w:val="20"/>
              </w:rPr>
              <w:t>Oilserv v. L.A.I.CO</w:t>
            </w:r>
            <w:r w:rsidRPr="008704C0">
              <w:rPr>
                <w:rFonts w:ascii="Palatino Linotype" w:hAnsi="Palatino Linotype"/>
                <w:sz w:val="20"/>
                <w:szCs w:val="20"/>
              </w:rPr>
              <w:t xml:space="preserve"> (2008) 2 NWLR (Pt. 1070) 191</w:t>
            </w:r>
          </w:p>
        </w:tc>
      </w:tr>
      <w:tr w:rsidR="00B55EF3" w:rsidRPr="008704C0" w14:paraId="28707FF3"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392515F" w14:textId="77777777" w:rsidR="00B55EF3" w:rsidRPr="008704C0" w:rsidRDefault="00000000">
            <w:pPr>
              <w:rPr>
                <w:rFonts w:ascii="Palatino Linotype" w:hAnsi="Palatino Linotype"/>
                <w:sz w:val="20"/>
                <w:szCs w:val="20"/>
              </w:rPr>
            </w:pPr>
            <w:r w:rsidRPr="008704C0">
              <w:rPr>
                <w:rFonts w:ascii="Palatino Linotype" w:hAnsi="Palatino Linotype"/>
                <w:b/>
                <w:bCs/>
                <w:sz w:val="20"/>
                <w:szCs w:val="20"/>
              </w:rPr>
              <w:t>Circumvention / unjust enrichment</w:t>
            </w:r>
          </w:p>
        </w:tc>
        <w:tc>
          <w:tcPr>
            <w:tcW w:w="4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7F48867F" w14:textId="77777777" w:rsidR="00B55EF3" w:rsidRPr="008704C0" w:rsidRDefault="00000000">
            <w:pPr>
              <w:rPr>
                <w:rFonts w:ascii="Palatino Linotype" w:hAnsi="Palatino Linotype"/>
                <w:sz w:val="20"/>
                <w:szCs w:val="20"/>
              </w:rPr>
            </w:pPr>
            <w:r w:rsidRPr="008704C0">
              <w:rPr>
                <w:rFonts w:ascii="Palatino Linotype" w:hAnsi="Palatino Linotype"/>
                <w:sz w:val="20"/>
                <w:szCs w:val="20"/>
              </w:rPr>
              <w:t>TON bypassed NRG Bloom to deal directly with Axxela, Agnes, and Blaze — contacts originated by NRG Bloom — retaining the full benefit without compensation. By circumventing NRG Bloom’s Axxela relationship, TON denied NRG Bloom the ability to leverage that relationship for structured financing: co-signed project agreements insurable by Export Development Canada (EDC), which would have enabled debt-based funding from Canadian financial institutions.</w:t>
            </w:r>
          </w:p>
        </w:tc>
        <w:tc>
          <w:tcPr>
            <w:tcW w:w="35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C5C9FF0" w14:textId="77777777" w:rsidR="00B55EF3" w:rsidRPr="008704C0" w:rsidRDefault="00000000">
            <w:pPr>
              <w:rPr>
                <w:rFonts w:ascii="Palatino Linotype" w:hAnsi="Palatino Linotype"/>
                <w:sz w:val="20"/>
                <w:szCs w:val="20"/>
              </w:rPr>
            </w:pPr>
            <w:r w:rsidRPr="008704C0">
              <w:rPr>
                <w:rFonts w:ascii="Palatino Linotype" w:hAnsi="Palatino Linotype"/>
                <w:i/>
                <w:iCs/>
                <w:sz w:val="20"/>
                <w:szCs w:val="20"/>
              </w:rPr>
              <w:t>Oceanic Bank v. Chitex</w:t>
            </w:r>
            <w:r w:rsidRPr="008704C0">
              <w:rPr>
                <w:rFonts w:ascii="Palatino Linotype" w:hAnsi="Palatino Linotype"/>
                <w:sz w:val="20"/>
                <w:szCs w:val="20"/>
              </w:rPr>
              <w:t xml:space="preserve"> (2000) 6 NWLR (Pt. 661) 464; equitable principles of restitution</w:t>
            </w:r>
          </w:p>
        </w:tc>
      </w:tr>
      <w:tr w:rsidR="00B55EF3" w:rsidRPr="008704C0" w14:paraId="2BCD6265"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7EE944DF" w14:textId="77777777" w:rsidR="00B55EF3" w:rsidRPr="008704C0" w:rsidRDefault="00000000">
            <w:pPr>
              <w:rPr>
                <w:rFonts w:ascii="Palatino Linotype" w:hAnsi="Palatino Linotype"/>
                <w:sz w:val="20"/>
                <w:szCs w:val="20"/>
              </w:rPr>
            </w:pPr>
            <w:r w:rsidRPr="008704C0">
              <w:rPr>
                <w:rFonts w:ascii="Palatino Linotype" w:hAnsi="Palatino Linotype"/>
                <w:b/>
                <w:bCs/>
                <w:sz w:val="20"/>
                <w:szCs w:val="20"/>
              </w:rPr>
              <w:lastRenderedPageBreak/>
              <w:t>Breach of exclusivity</w:t>
            </w:r>
          </w:p>
        </w:tc>
        <w:tc>
          <w:tcPr>
            <w:tcW w:w="4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60416AC" w14:textId="77777777" w:rsidR="00B55EF3" w:rsidRPr="008704C0" w:rsidRDefault="00000000">
            <w:pPr>
              <w:rPr>
                <w:rFonts w:ascii="Palatino Linotype" w:hAnsi="Palatino Linotype"/>
                <w:sz w:val="20"/>
                <w:szCs w:val="20"/>
              </w:rPr>
            </w:pPr>
            <w:r w:rsidRPr="008704C0">
              <w:rPr>
                <w:rFonts w:ascii="Palatino Linotype" w:hAnsi="Palatino Linotype"/>
                <w:sz w:val="20"/>
                <w:szCs w:val="20"/>
              </w:rPr>
              <w:t>JV Agreement Section 5: “TON agrees that all current and future Bitcoin mining projects in Nigeria will be done exclusively with NRG BLOOM.” TON’s pursuit of Axxela and continued Ogboinbiri operations without NRG Bloom breaches this commitment.</w:t>
            </w:r>
          </w:p>
        </w:tc>
        <w:tc>
          <w:tcPr>
            <w:tcW w:w="35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75E6A178" w14:textId="77777777" w:rsidR="00B55EF3" w:rsidRPr="008704C0" w:rsidRDefault="00000000">
            <w:pPr>
              <w:rPr>
                <w:rFonts w:ascii="Palatino Linotype" w:hAnsi="Palatino Linotype"/>
                <w:sz w:val="20"/>
                <w:szCs w:val="20"/>
              </w:rPr>
            </w:pPr>
            <w:r w:rsidRPr="008704C0">
              <w:rPr>
                <w:rFonts w:ascii="Palatino Linotype" w:hAnsi="Palatino Linotype"/>
                <w:sz w:val="20"/>
                <w:szCs w:val="20"/>
              </w:rPr>
              <w:t>Contract; implied duty of good faith</w:t>
            </w:r>
          </w:p>
        </w:tc>
      </w:tr>
      <w:tr w:rsidR="00B55EF3" w:rsidRPr="008704C0" w14:paraId="70528160"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1448274" w14:textId="77777777" w:rsidR="00B55EF3" w:rsidRPr="008704C0" w:rsidRDefault="00000000">
            <w:pPr>
              <w:rPr>
                <w:rFonts w:ascii="Palatino Linotype" w:hAnsi="Palatino Linotype"/>
                <w:sz w:val="20"/>
                <w:szCs w:val="20"/>
              </w:rPr>
            </w:pPr>
            <w:r w:rsidRPr="008704C0">
              <w:rPr>
                <w:rFonts w:ascii="Palatino Linotype" w:hAnsi="Palatino Linotype"/>
                <w:b/>
                <w:bCs/>
                <w:sz w:val="20"/>
                <w:szCs w:val="20"/>
              </w:rPr>
              <w:t>Exemplary / punitive damages</w:t>
            </w:r>
          </w:p>
        </w:tc>
        <w:tc>
          <w:tcPr>
            <w:tcW w:w="4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C4D53BD" w14:textId="77777777" w:rsidR="00B55EF3" w:rsidRPr="008704C0" w:rsidRDefault="00000000">
            <w:pPr>
              <w:rPr>
                <w:rFonts w:ascii="Palatino Linotype" w:hAnsi="Palatino Linotype"/>
                <w:sz w:val="20"/>
                <w:szCs w:val="20"/>
              </w:rPr>
            </w:pPr>
            <w:r w:rsidRPr="008704C0">
              <w:rPr>
                <w:rFonts w:ascii="Palatino Linotype" w:hAnsi="Palatino Linotype"/>
                <w:sz w:val="20"/>
                <w:szCs w:val="20"/>
              </w:rPr>
              <w:t>The “calculated tactic,” fraudulent misrepresentation to Axxela, manufactured termination conditions, and 10-month-delayed safety pretext demonstrate deliberate bad faith warranting punitive damages</w:t>
            </w:r>
          </w:p>
        </w:tc>
        <w:tc>
          <w:tcPr>
            <w:tcW w:w="35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7D924AF5" w14:textId="77777777" w:rsidR="00B55EF3" w:rsidRPr="008704C0" w:rsidRDefault="00000000">
            <w:pPr>
              <w:rPr>
                <w:rFonts w:ascii="Palatino Linotype" w:hAnsi="Palatino Linotype"/>
                <w:sz w:val="20"/>
                <w:szCs w:val="20"/>
              </w:rPr>
            </w:pPr>
            <w:r w:rsidRPr="008704C0">
              <w:rPr>
                <w:rFonts w:ascii="Palatino Linotype" w:hAnsi="Palatino Linotype"/>
                <w:i/>
                <w:iCs/>
                <w:sz w:val="20"/>
                <w:szCs w:val="20"/>
              </w:rPr>
              <w:t>Maritime Management v. NMA 11</w:t>
            </w:r>
            <w:r w:rsidRPr="008704C0">
              <w:rPr>
                <w:rFonts w:ascii="Palatino Linotype" w:hAnsi="Palatino Linotype"/>
                <w:sz w:val="20"/>
                <w:szCs w:val="20"/>
              </w:rPr>
              <w:t xml:space="preserve"> (2012) 18 NWLR (Pt. 1333) 506 at 544; </w:t>
            </w:r>
            <w:r w:rsidRPr="008704C0">
              <w:rPr>
                <w:rFonts w:ascii="Palatino Linotype" w:hAnsi="Palatino Linotype"/>
                <w:i/>
                <w:iCs/>
                <w:sz w:val="20"/>
                <w:szCs w:val="20"/>
              </w:rPr>
              <w:t>Baker Marine v. Chevron</w:t>
            </w:r>
            <w:r w:rsidRPr="008704C0">
              <w:rPr>
                <w:rFonts w:ascii="Palatino Linotype" w:hAnsi="Palatino Linotype"/>
                <w:sz w:val="20"/>
                <w:szCs w:val="20"/>
              </w:rPr>
              <w:t xml:space="preserve"> (2000) 12 NWLR (Pt. 681) 393</w:t>
            </w:r>
          </w:p>
        </w:tc>
      </w:tr>
    </w:tbl>
    <w:p w14:paraId="283A4121" w14:textId="77777777" w:rsidR="00B55EF3" w:rsidRPr="008704C0" w:rsidRDefault="00000000">
      <w:pPr>
        <w:pStyle w:val="Heading1"/>
        <w:rPr>
          <w:rFonts w:ascii="Palatino Linotype" w:hAnsi="Palatino Linotype"/>
          <w:sz w:val="20"/>
          <w:szCs w:val="20"/>
        </w:rPr>
      </w:pPr>
      <w:r w:rsidRPr="008704C0">
        <w:rPr>
          <w:rFonts w:ascii="Palatino Linotype" w:hAnsi="Palatino Linotype"/>
          <w:sz w:val="20"/>
          <w:szCs w:val="20"/>
        </w:rPr>
        <w:t>E. SETTLEMENT POSITION</w:t>
      </w:r>
    </w:p>
    <w:p w14:paraId="5DE14F33" w14:textId="77777777" w:rsidR="00B55EF3" w:rsidRPr="008704C0" w:rsidRDefault="00000000">
      <w:pPr>
        <w:pStyle w:val="Heading2"/>
        <w:rPr>
          <w:rFonts w:ascii="Palatino Linotype" w:hAnsi="Palatino Linotype"/>
          <w:color w:val="00B050"/>
          <w:sz w:val="20"/>
          <w:szCs w:val="20"/>
        </w:rPr>
      </w:pPr>
      <w:r w:rsidRPr="008704C0">
        <w:rPr>
          <w:rFonts w:ascii="Palatino Linotype" w:hAnsi="Palatino Linotype"/>
          <w:color w:val="00B050"/>
          <w:sz w:val="20"/>
          <w:szCs w:val="20"/>
        </w:rPr>
        <w:t>E.1 NRG Bloom’s Claim Range</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200"/>
        <w:gridCol w:w="1200"/>
        <w:gridCol w:w="4760"/>
      </w:tblGrid>
      <w:tr w:rsidR="008704C0" w:rsidRPr="008704C0" w14:paraId="2B860F03" w14:textId="77777777">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27A84AEB" w14:textId="77777777" w:rsidR="00B55EF3" w:rsidRPr="008704C0" w:rsidRDefault="00000000">
            <w:pPr>
              <w:rPr>
                <w:rFonts w:ascii="Palatino Linotype" w:hAnsi="Palatino Linotype"/>
                <w:color w:val="00B050"/>
                <w:sz w:val="20"/>
                <w:szCs w:val="20"/>
              </w:rPr>
            </w:pPr>
            <w:r w:rsidRPr="008704C0">
              <w:rPr>
                <w:rFonts w:ascii="Palatino Linotype" w:hAnsi="Palatino Linotype"/>
                <w:b/>
                <w:bCs/>
                <w:color w:val="00B050"/>
                <w:sz w:val="20"/>
                <w:szCs w:val="20"/>
              </w:rPr>
              <w:t>Component</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7E4EE8B7" w14:textId="77777777" w:rsidR="00B55EF3" w:rsidRPr="008704C0" w:rsidRDefault="00000000">
            <w:pPr>
              <w:rPr>
                <w:rFonts w:ascii="Palatino Linotype" w:hAnsi="Palatino Linotype"/>
                <w:color w:val="00B050"/>
                <w:sz w:val="20"/>
                <w:szCs w:val="20"/>
              </w:rPr>
            </w:pPr>
            <w:r w:rsidRPr="008704C0">
              <w:rPr>
                <w:rFonts w:ascii="Palatino Linotype" w:hAnsi="Palatino Linotype"/>
                <w:b/>
                <w:bCs/>
                <w:color w:val="00B050"/>
                <w:sz w:val="20"/>
                <w:szCs w:val="20"/>
              </w:rPr>
              <w:t>Low Estimate</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3442C265" w14:textId="77777777" w:rsidR="00B55EF3" w:rsidRPr="008704C0" w:rsidRDefault="00000000">
            <w:pPr>
              <w:rPr>
                <w:rFonts w:ascii="Palatino Linotype" w:hAnsi="Palatino Linotype"/>
                <w:color w:val="00B050"/>
                <w:sz w:val="20"/>
                <w:szCs w:val="20"/>
              </w:rPr>
            </w:pPr>
            <w:r w:rsidRPr="008704C0">
              <w:rPr>
                <w:rFonts w:ascii="Palatino Linotype" w:hAnsi="Palatino Linotype"/>
                <w:b/>
                <w:bCs/>
                <w:color w:val="00B050"/>
                <w:sz w:val="20"/>
                <w:szCs w:val="20"/>
              </w:rPr>
              <w:t>High Estimate</w:t>
            </w:r>
          </w:p>
        </w:tc>
        <w:tc>
          <w:tcPr>
            <w:tcW w:w="47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002877BC" w14:textId="77777777" w:rsidR="00B55EF3" w:rsidRPr="008704C0" w:rsidRDefault="00000000">
            <w:pPr>
              <w:rPr>
                <w:rFonts w:ascii="Palatino Linotype" w:hAnsi="Palatino Linotype"/>
                <w:color w:val="00B050"/>
                <w:sz w:val="20"/>
                <w:szCs w:val="20"/>
              </w:rPr>
            </w:pPr>
            <w:r w:rsidRPr="008704C0">
              <w:rPr>
                <w:rFonts w:ascii="Palatino Linotype" w:hAnsi="Palatino Linotype"/>
                <w:b/>
                <w:bCs/>
                <w:color w:val="00B050"/>
                <w:sz w:val="20"/>
                <w:szCs w:val="20"/>
              </w:rPr>
              <w:t>Basis</w:t>
            </w:r>
          </w:p>
        </w:tc>
      </w:tr>
      <w:tr w:rsidR="00B55EF3" w:rsidRPr="008704C0" w14:paraId="2F4544EE"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0FAA3E8" w14:textId="77777777" w:rsidR="00B55EF3" w:rsidRPr="008704C0" w:rsidRDefault="00000000">
            <w:pPr>
              <w:rPr>
                <w:rFonts w:ascii="Palatino Linotype" w:hAnsi="Palatino Linotype"/>
                <w:sz w:val="20"/>
                <w:szCs w:val="20"/>
              </w:rPr>
            </w:pPr>
            <w:r w:rsidRPr="008704C0">
              <w:rPr>
                <w:rFonts w:ascii="Palatino Linotype" w:hAnsi="Palatino Linotype"/>
                <w:sz w:val="20"/>
                <w:szCs w:val="20"/>
              </w:rPr>
              <w:t>Unpaid operations fees</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A6EDDE3" w14:textId="77777777" w:rsidR="00B55EF3" w:rsidRPr="008704C0" w:rsidRDefault="00000000">
            <w:pPr>
              <w:rPr>
                <w:rFonts w:ascii="Palatino Linotype" w:hAnsi="Palatino Linotype"/>
                <w:sz w:val="20"/>
                <w:szCs w:val="20"/>
              </w:rPr>
            </w:pPr>
            <w:r w:rsidRPr="008704C0">
              <w:rPr>
                <w:rFonts w:ascii="Palatino Linotype" w:hAnsi="Palatino Linotype"/>
                <w:sz w:val="20"/>
                <w:szCs w:val="20"/>
              </w:rPr>
              <w:t>$52,500</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A4328CD" w14:textId="77777777" w:rsidR="00B55EF3" w:rsidRPr="008704C0" w:rsidRDefault="00000000">
            <w:pPr>
              <w:rPr>
                <w:rFonts w:ascii="Palatino Linotype" w:hAnsi="Palatino Linotype"/>
                <w:sz w:val="20"/>
                <w:szCs w:val="20"/>
              </w:rPr>
            </w:pPr>
            <w:r w:rsidRPr="008704C0">
              <w:rPr>
                <w:rFonts w:ascii="Palatino Linotype" w:hAnsi="Palatino Linotype"/>
                <w:sz w:val="20"/>
                <w:szCs w:val="20"/>
              </w:rPr>
              <w:t>$210,000</w:t>
            </w:r>
          </w:p>
        </w:tc>
        <w:tc>
          <w:tcPr>
            <w:tcW w:w="47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D812A6D" w14:textId="77777777" w:rsidR="00B55EF3" w:rsidRPr="008704C0" w:rsidRDefault="00000000">
            <w:pPr>
              <w:rPr>
                <w:rFonts w:ascii="Palatino Linotype" w:hAnsi="Palatino Linotype"/>
                <w:sz w:val="20"/>
                <w:szCs w:val="20"/>
              </w:rPr>
            </w:pPr>
            <w:r w:rsidRPr="008704C0">
              <w:rPr>
                <w:rFonts w:ascii="Palatino Linotype" w:hAnsi="Palatino Linotype"/>
                <w:sz w:val="20"/>
                <w:szCs w:val="20"/>
              </w:rPr>
              <w:t>Low: $875/month × 1 container × 60 months. High: $875/month × 4 containers × 60 months. NRG Bloom notes the original contractual rate was $9,000/month (JV Agreement); the reduction to $875 was procured under duress.</w:t>
            </w:r>
          </w:p>
        </w:tc>
      </w:tr>
      <w:tr w:rsidR="00B55EF3" w:rsidRPr="008704C0" w14:paraId="2CCCFB45"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F72342F" w14:textId="77777777" w:rsidR="00B55EF3" w:rsidRPr="008704C0" w:rsidRDefault="00000000">
            <w:pPr>
              <w:rPr>
                <w:rFonts w:ascii="Palatino Linotype" w:hAnsi="Palatino Linotype"/>
                <w:sz w:val="20"/>
                <w:szCs w:val="20"/>
              </w:rPr>
            </w:pPr>
            <w:r w:rsidRPr="008704C0">
              <w:rPr>
                <w:rFonts w:ascii="Palatino Linotype" w:hAnsi="Palatino Linotype"/>
                <w:sz w:val="20"/>
                <w:szCs w:val="20"/>
              </w:rPr>
              <w:t>Lost revenue share (SDA/Addendum terms, projected 60 months)</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B489AC2" w14:textId="77777777" w:rsidR="00B55EF3" w:rsidRPr="008704C0" w:rsidRDefault="00000000">
            <w:pPr>
              <w:rPr>
                <w:rFonts w:ascii="Palatino Linotype" w:hAnsi="Palatino Linotype"/>
                <w:sz w:val="20"/>
                <w:szCs w:val="20"/>
              </w:rPr>
            </w:pPr>
            <w:r w:rsidRPr="008704C0">
              <w:rPr>
                <w:rFonts w:ascii="Palatino Linotype" w:hAnsi="Palatino Linotype"/>
                <w:sz w:val="20"/>
                <w:szCs w:val="20"/>
              </w:rPr>
              <w:t>$250,000</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B65DA59" w14:textId="77777777" w:rsidR="00B55EF3" w:rsidRPr="008704C0" w:rsidRDefault="00000000">
            <w:pPr>
              <w:rPr>
                <w:rFonts w:ascii="Palatino Linotype" w:hAnsi="Palatino Linotype"/>
                <w:sz w:val="20"/>
                <w:szCs w:val="20"/>
              </w:rPr>
            </w:pPr>
            <w:r w:rsidRPr="008704C0">
              <w:rPr>
                <w:rFonts w:ascii="Palatino Linotype" w:hAnsi="Palatino Linotype"/>
                <w:sz w:val="20"/>
                <w:szCs w:val="20"/>
              </w:rPr>
              <w:t>$700,000</w:t>
            </w:r>
          </w:p>
        </w:tc>
        <w:tc>
          <w:tcPr>
            <w:tcW w:w="47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D7641F4" w14:textId="77777777" w:rsidR="00B55EF3" w:rsidRPr="008704C0" w:rsidRDefault="00000000">
            <w:pPr>
              <w:rPr>
                <w:rFonts w:ascii="Palatino Linotype" w:hAnsi="Palatino Linotype"/>
                <w:sz w:val="20"/>
                <w:szCs w:val="20"/>
              </w:rPr>
            </w:pPr>
            <w:r w:rsidRPr="008704C0">
              <w:rPr>
                <w:rFonts w:ascii="Palatino Linotype" w:hAnsi="Palatino Linotype"/>
                <w:sz w:val="20"/>
                <w:szCs w:val="20"/>
              </w:rPr>
              <w:t>35% share under Addendum No. 1 for a reduced (not full) projected period</w:t>
            </w:r>
          </w:p>
        </w:tc>
      </w:tr>
      <w:tr w:rsidR="00B55EF3" w:rsidRPr="008704C0" w14:paraId="20279C21"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ED0406F" w14:textId="77777777" w:rsidR="00B55EF3" w:rsidRPr="008704C0" w:rsidRDefault="00000000">
            <w:pPr>
              <w:rPr>
                <w:rFonts w:ascii="Palatino Linotype" w:hAnsi="Palatino Linotype"/>
                <w:sz w:val="20"/>
                <w:szCs w:val="20"/>
              </w:rPr>
            </w:pPr>
            <w:r w:rsidRPr="008704C0">
              <w:rPr>
                <w:rFonts w:ascii="Palatino Linotype" w:hAnsi="Palatino Linotype"/>
                <w:sz w:val="20"/>
                <w:szCs w:val="20"/>
              </w:rPr>
              <w:t>Damages for progressive devaluation (original JV terms vs. SDA terms)</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644CF46" w14:textId="77777777" w:rsidR="00B55EF3" w:rsidRPr="008704C0" w:rsidRDefault="00000000">
            <w:pPr>
              <w:rPr>
                <w:rFonts w:ascii="Palatino Linotype" w:hAnsi="Palatino Linotype"/>
                <w:sz w:val="20"/>
                <w:szCs w:val="20"/>
              </w:rPr>
            </w:pPr>
            <w:r w:rsidRPr="008704C0">
              <w:rPr>
                <w:rFonts w:ascii="Palatino Linotype" w:hAnsi="Palatino Linotype"/>
                <w:sz w:val="20"/>
                <w:szCs w:val="20"/>
              </w:rPr>
              <w:t>$232,000</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8D067F4" w14:textId="77777777" w:rsidR="00B55EF3" w:rsidRPr="008704C0" w:rsidRDefault="00000000">
            <w:pPr>
              <w:rPr>
                <w:rFonts w:ascii="Palatino Linotype" w:hAnsi="Palatino Linotype"/>
                <w:sz w:val="20"/>
                <w:szCs w:val="20"/>
              </w:rPr>
            </w:pPr>
            <w:r w:rsidRPr="008704C0">
              <w:rPr>
                <w:rFonts w:ascii="Palatino Linotype" w:hAnsi="Palatino Linotype"/>
                <w:sz w:val="20"/>
                <w:szCs w:val="20"/>
              </w:rPr>
              <w:t>$465,000</w:t>
            </w:r>
          </w:p>
        </w:tc>
        <w:tc>
          <w:tcPr>
            <w:tcW w:w="47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E30C5F9" w14:textId="77777777" w:rsidR="00B55EF3" w:rsidRPr="008704C0" w:rsidRDefault="00000000">
            <w:pPr>
              <w:rPr>
                <w:rFonts w:ascii="Palatino Linotype" w:hAnsi="Palatino Linotype"/>
                <w:sz w:val="20"/>
                <w:szCs w:val="20"/>
              </w:rPr>
            </w:pPr>
            <w:r w:rsidRPr="008704C0">
              <w:rPr>
                <w:rFonts w:ascii="Palatino Linotype" w:hAnsi="Palatino Linotype"/>
                <w:sz w:val="20"/>
                <w:szCs w:val="20"/>
              </w:rPr>
              <w:t>Difference between value at original terms (25% + $9,000/month) and actual terms (8% + $875/month) over the operating period</w:t>
            </w:r>
          </w:p>
        </w:tc>
      </w:tr>
      <w:tr w:rsidR="00B55EF3" w:rsidRPr="008704C0" w14:paraId="432B7149"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A9D5A15" w14:textId="77777777" w:rsidR="00B55EF3" w:rsidRPr="008704C0" w:rsidRDefault="00000000">
            <w:pPr>
              <w:rPr>
                <w:rFonts w:ascii="Palatino Linotype" w:hAnsi="Palatino Linotype"/>
                <w:sz w:val="20"/>
                <w:szCs w:val="20"/>
              </w:rPr>
            </w:pPr>
            <w:r w:rsidRPr="008704C0">
              <w:rPr>
                <w:rFonts w:ascii="Palatino Linotype" w:hAnsi="Palatino Linotype"/>
                <w:sz w:val="20"/>
                <w:szCs w:val="20"/>
              </w:rPr>
              <w:t>Axxela circumvention damages</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7195A507" w14:textId="77777777" w:rsidR="00B55EF3" w:rsidRPr="008704C0" w:rsidRDefault="00000000">
            <w:pPr>
              <w:rPr>
                <w:rFonts w:ascii="Palatino Linotype" w:hAnsi="Palatino Linotype"/>
                <w:sz w:val="20"/>
                <w:szCs w:val="20"/>
              </w:rPr>
            </w:pPr>
            <w:r w:rsidRPr="008704C0">
              <w:rPr>
                <w:rFonts w:ascii="Palatino Linotype" w:hAnsi="Palatino Linotype"/>
                <w:sz w:val="20"/>
                <w:szCs w:val="20"/>
              </w:rPr>
              <w:t>$450,000</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4E8EFBD" w14:textId="77777777" w:rsidR="00B55EF3" w:rsidRPr="008704C0" w:rsidRDefault="00000000">
            <w:pPr>
              <w:rPr>
                <w:rFonts w:ascii="Palatino Linotype" w:hAnsi="Palatino Linotype"/>
                <w:sz w:val="20"/>
                <w:szCs w:val="20"/>
              </w:rPr>
            </w:pPr>
            <w:r w:rsidRPr="008704C0">
              <w:rPr>
                <w:rFonts w:ascii="Palatino Linotype" w:hAnsi="Palatino Linotype"/>
                <w:sz w:val="20"/>
                <w:szCs w:val="20"/>
              </w:rPr>
              <w:t>$450,000</w:t>
            </w:r>
          </w:p>
        </w:tc>
        <w:tc>
          <w:tcPr>
            <w:tcW w:w="47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741D23E" w14:textId="77777777" w:rsidR="00B55EF3" w:rsidRPr="008704C0" w:rsidRDefault="00000000">
            <w:pPr>
              <w:rPr>
                <w:rFonts w:ascii="Palatino Linotype" w:hAnsi="Palatino Linotype"/>
                <w:sz w:val="20"/>
                <w:szCs w:val="20"/>
              </w:rPr>
            </w:pPr>
            <w:r w:rsidRPr="008704C0">
              <w:rPr>
                <w:rFonts w:ascii="Palatino Linotype" w:hAnsi="Palatino Linotype"/>
                <w:sz w:val="20"/>
                <w:szCs w:val="20"/>
              </w:rPr>
              <w:t>Calculated based on NRG Bloom’s lost share of the Axxela PPA value; separate from Ogboinbiri operational losses</w:t>
            </w:r>
          </w:p>
        </w:tc>
      </w:tr>
      <w:tr w:rsidR="00B55EF3" w:rsidRPr="008704C0" w14:paraId="19679E75"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74A5D269" w14:textId="77777777" w:rsidR="00B55EF3" w:rsidRPr="008704C0" w:rsidRDefault="00000000">
            <w:pPr>
              <w:rPr>
                <w:rFonts w:ascii="Palatino Linotype" w:hAnsi="Palatino Linotype"/>
                <w:sz w:val="20"/>
                <w:szCs w:val="20"/>
              </w:rPr>
            </w:pPr>
            <w:r w:rsidRPr="008704C0">
              <w:rPr>
                <w:rFonts w:ascii="Palatino Linotype" w:hAnsi="Palatino Linotype"/>
                <w:sz w:val="20"/>
                <w:szCs w:val="20"/>
              </w:rPr>
              <w:t>Consequential damages (lost structured financing pathway)</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885FEA2" w14:textId="77777777" w:rsidR="00B55EF3" w:rsidRPr="008704C0" w:rsidRDefault="00000000">
            <w:pPr>
              <w:rPr>
                <w:rFonts w:ascii="Palatino Linotype" w:hAnsi="Palatino Linotype"/>
                <w:sz w:val="20"/>
                <w:szCs w:val="20"/>
              </w:rPr>
            </w:pPr>
            <w:r w:rsidRPr="008704C0">
              <w:rPr>
                <w:rFonts w:ascii="Palatino Linotype" w:hAnsi="Palatino Linotype"/>
                <w:sz w:val="20"/>
                <w:szCs w:val="20"/>
              </w:rPr>
              <w:t>$300,000</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7864353" w14:textId="77777777" w:rsidR="00B55EF3" w:rsidRPr="008704C0" w:rsidRDefault="00000000">
            <w:pPr>
              <w:rPr>
                <w:rFonts w:ascii="Palatino Linotype" w:hAnsi="Palatino Linotype"/>
                <w:sz w:val="20"/>
                <w:szCs w:val="20"/>
              </w:rPr>
            </w:pPr>
            <w:r w:rsidRPr="008704C0">
              <w:rPr>
                <w:rFonts w:ascii="Palatino Linotype" w:hAnsi="Palatino Linotype"/>
                <w:sz w:val="20"/>
                <w:szCs w:val="20"/>
              </w:rPr>
              <w:t>$800,000</w:t>
            </w:r>
          </w:p>
        </w:tc>
        <w:tc>
          <w:tcPr>
            <w:tcW w:w="47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4D1A304" w14:textId="77777777" w:rsidR="00B55EF3" w:rsidRPr="008704C0" w:rsidRDefault="00000000">
            <w:pPr>
              <w:rPr>
                <w:rFonts w:ascii="Palatino Linotype" w:hAnsi="Palatino Linotype"/>
                <w:sz w:val="20"/>
                <w:szCs w:val="20"/>
              </w:rPr>
            </w:pPr>
            <w:r w:rsidRPr="008704C0">
              <w:rPr>
                <w:rFonts w:ascii="Palatino Linotype" w:hAnsi="Palatino Linotype"/>
                <w:sz w:val="20"/>
                <w:szCs w:val="20"/>
              </w:rPr>
              <w:t>Loss of EDC-insurable project agreements and consequent inability to access Canadian institutional debt financing that NRG Bloom was actively pursuing</w:t>
            </w:r>
          </w:p>
        </w:tc>
      </w:tr>
      <w:tr w:rsidR="00B55EF3" w:rsidRPr="008704C0" w14:paraId="1E406539"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736A55A" w14:textId="77777777" w:rsidR="00B55EF3" w:rsidRPr="008704C0" w:rsidRDefault="00000000">
            <w:pPr>
              <w:rPr>
                <w:rFonts w:ascii="Palatino Linotype" w:hAnsi="Palatino Linotype"/>
                <w:sz w:val="20"/>
                <w:szCs w:val="20"/>
              </w:rPr>
            </w:pPr>
            <w:r w:rsidRPr="008704C0">
              <w:rPr>
                <w:rFonts w:ascii="Palatino Linotype" w:hAnsi="Palatino Linotype"/>
                <w:sz w:val="20"/>
                <w:szCs w:val="20"/>
              </w:rPr>
              <w:t>Exemplary / punitive damages</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6724609" w14:textId="77777777" w:rsidR="00B55EF3" w:rsidRPr="008704C0" w:rsidRDefault="00000000">
            <w:pPr>
              <w:rPr>
                <w:rFonts w:ascii="Palatino Linotype" w:hAnsi="Palatino Linotype"/>
                <w:sz w:val="20"/>
                <w:szCs w:val="20"/>
              </w:rPr>
            </w:pPr>
            <w:r w:rsidRPr="008704C0">
              <w:rPr>
                <w:rFonts w:ascii="Palatino Linotype" w:hAnsi="Palatino Linotype"/>
                <w:sz w:val="20"/>
                <w:szCs w:val="20"/>
              </w:rPr>
              <w:t>$100,000</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8F5A708" w14:textId="77777777" w:rsidR="00B55EF3" w:rsidRPr="008704C0" w:rsidRDefault="00000000">
            <w:pPr>
              <w:rPr>
                <w:rFonts w:ascii="Palatino Linotype" w:hAnsi="Palatino Linotype"/>
                <w:sz w:val="20"/>
                <w:szCs w:val="20"/>
              </w:rPr>
            </w:pPr>
            <w:r w:rsidRPr="008704C0">
              <w:rPr>
                <w:rFonts w:ascii="Palatino Linotype" w:hAnsi="Palatino Linotype"/>
                <w:sz w:val="20"/>
                <w:szCs w:val="20"/>
              </w:rPr>
              <w:t>$300,000</w:t>
            </w:r>
          </w:p>
        </w:tc>
        <w:tc>
          <w:tcPr>
            <w:tcW w:w="47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731596A0" w14:textId="77777777" w:rsidR="00B55EF3" w:rsidRPr="008704C0" w:rsidRDefault="00000000">
            <w:pPr>
              <w:rPr>
                <w:rFonts w:ascii="Palatino Linotype" w:hAnsi="Palatino Linotype"/>
                <w:sz w:val="20"/>
                <w:szCs w:val="20"/>
              </w:rPr>
            </w:pPr>
            <w:r w:rsidRPr="008704C0">
              <w:rPr>
                <w:rFonts w:ascii="Palatino Linotype" w:hAnsi="Palatino Linotype"/>
                <w:sz w:val="20"/>
                <w:szCs w:val="20"/>
              </w:rPr>
              <w:t>Reserved for arbitration; excluded from settlement offer</w:t>
            </w:r>
          </w:p>
        </w:tc>
      </w:tr>
      <w:tr w:rsidR="00B55EF3" w:rsidRPr="008704C0" w14:paraId="36A465A1"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778012B" w14:textId="77777777" w:rsidR="00B55EF3" w:rsidRPr="008704C0" w:rsidRDefault="00000000">
            <w:pPr>
              <w:rPr>
                <w:rFonts w:ascii="Palatino Linotype" w:hAnsi="Palatino Linotype"/>
                <w:sz w:val="20"/>
                <w:szCs w:val="20"/>
              </w:rPr>
            </w:pPr>
            <w:r w:rsidRPr="008704C0">
              <w:rPr>
                <w:rFonts w:ascii="Palatino Linotype" w:hAnsi="Palatino Linotype"/>
                <w:sz w:val="20"/>
                <w:szCs w:val="20"/>
              </w:rPr>
              <w:lastRenderedPageBreak/>
              <w:t>Legal and advisory costs</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1D190B5" w14:textId="77777777" w:rsidR="00B55EF3" w:rsidRPr="008704C0" w:rsidRDefault="00000000">
            <w:pPr>
              <w:rPr>
                <w:rFonts w:ascii="Palatino Linotype" w:hAnsi="Palatino Linotype"/>
                <w:sz w:val="20"/>
                <w:szCs w:val="20"/>
              </w:rPr>
            </w:pPr>
            <w:r w:rsidRPr="008704C0">
              <w:rPr>
                <w:rFonts w:ascii="Palatino Linotype" w:hAnsi="Palatino Linotype"/>
                <w:sz w:val="20"/>
                <w:szCs w:val="20"/>
              </w:rPr>
              <w:t>$3,500</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FA9518A" w14:textId="77777777" w:rsidR="00B55EF3" w:rsidRPr="008704C0" w:rsidRDefault="00000000">
            <w:pPr>
              <w:rPr>
                <w:rFonts w:ascii="Palatino Linotype" w:hAnsi="Palatino Linotype"/>
                <w:sz w:val="20"/>
                <w:szCs w:val="20"/>
              </w:rPr>
            </w:pPr>
            <w:r w:rsidRPr="008704C0">
              <w:rPr>
                <w:rFonts w:ascii="Palatino Linotype" w:hAnsi="Palatino Linotype"/>
                <w:sz w:val="20"/>
                <w:szCs w:val="20"/>
              </w:rPr>
              <w:t>$3,500</w:t>
            </w:r>
          </w:p>
        </w:tc>
        <w:tc>
          <w:tcPr>
            <w:tcW w:w="47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DA9D02F" w14:textId="77777777" w:rsidR="00B55EF3" w:rsidRPr="008704C0" w:rsidRDefault="00000000">
            <w:pPr>
              <w:rPr>
                <w:rFonts w:ascii="Palatino Linotype" w:hAnsi="Palatino Linotype"/>
                <w:sz w:val="20"/>
                <w:szCs w:val="20"/>
              </w:rPr>
            </w:pPr>
            <w:r w:rsidRPr="008704C0">
              <w:rPr>
                <w:rFonts w:ascii="Palatino Linotype" w:hAnsi="Palatino Linotype"/>
                <w:sz w:val="20"/>
                <w:szCs w:val="20"/>
              </w:rPr>
              <w:t>To date</w:t>
            </w:r>
          </w:p>
        </w:tc>
      </w:tr>
      <w:tr w:rsidR="00B55EF3" w:rsidRPr="008704C0" w14:paraId="6906B8B9"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BDBA110" w14:textId="77777777" w:rsidR="00B55EF3" w:rsidRPr="008704C0" w:rsidRDefault="00000000">
            <w:pPr>
              <w:rPr>
                <w:rFonts w:ascii="Palatino Linotype" w:hAnsi="Palatino Linotype"/>
                <w:sz w:val="20"/>
                <w:szCs w:val="20"/>
              </w:rPr>
            </w:pPr>
            <w:r w:rsidRPr="008704C0">
              <w:rPr>
                <w:rFonts w:ascii="Palatino Linotype" w:hAnsi="Palatino Linotype"/>
                <w:b/>
                <w:bCs/>
                <w:sz w:val="20"/>
                <w:szCs w:val="20"/>
              </w:rPr>
              <w:t>TOTAL</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3BEB8E8" w14:textId="77777777" w:rsidR="00B55EF3" w:rsidRPr="008704C0" w:rsidRDefault="00000000">
            <w:pPr>
              <w:rPr>
                <w:rFonts w:ascii="Palatino Linotype" w:hAnsi="Palatino Linotype"/>
                <w:sz w:val="20"/>
                <w:szCs w:val="20"/>
              </w:rPr>
            </w:pPr>
            <w:r w:rsidRPr="008704C0">
              <w:rPr>
                <w:rFonts w:ascii="Palatino Linotype" w:hAnsi="Palatino Linotype"/>
                <w:b/>
                <w:bCs/>
                <w:sz w:val="20"/>
                <w:szCs w:val="20"/>
              </w:rPr>
              <w:t>~</w:t>
            </w:r>
            <w:r w:rsidRPr="008704C0">
              <w:rPr>
                <w:b/>
                <w:bCs/>
                <w:sz w:val="20"/>
                <w:szCs w:val="20"/>
              </w:rPr>
              <w:t>₦</w:t>
            </w:r>
            <w:r w:rsidRPr="008704C0">
              <w:rPr>
                <w:rFonts w:ascii="Palatino Linotype" w:hAnsi="Palatino Linotype"/>
                <w:b/>
                <w:bCs/>
                <w:sz w:val="20"/>
                <w:szCs w:val="20"/>
              </w:rPr>
              <w:t>1.8 Billion</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6C86ACF" w14:textId="77777777" w:rsidR="00B55EF3" w:rsidRPr="008704C0" w:rsidRDefault="00000000">
            <w:pPr>
              <w:rPr>
                <w:rFonts w:ascii="Palatino Linotype" w:hAnsi="Palatino Linotype"/>
                <w:sz w:val="20"/>
                <w:szCs w:val="20"/>
              </w:rPr>
            </w:pPr>
            <w:r w:rsidRPr="008704C0">
              <w:rPr>
                <w:rFonts w:ascii="Palatino Linotype" w:hAnsi="Palatino Linotype"/>
                <w:b/>
                <w:bCs/>
                <w:sz w:val="20"/>
                <w:szCs w:val="20"/>
              </w:rPr>
              <w:t>~</w:t>
            </w:r>
            <w:r w:rsidRPr="008704C0">
              <w:rPr>
                <w:b/>
                <w:bCs/>
                <w:sz w:val="20"/>
                <w:szCs w:val="20"/>
              </w:rPr>
              <w:t>₦</w:t>
            </w:r>
            <w:r w:rsidRPr="008704C0">
              <w:rPr>
                <w:rFonts w:ascii="Palatino Linotype" w:hAnsi="Palatino Linotype"/>
                <w:b/>
                <w:bCs/>
                <w:sz w:val="20"/>
                <w:szCs w:val="20"/>
              </w:rPr>
              <w:t>4 Billion</w:t>
            </w:r>
          </w:p>
        </w:tc>
        <w:tc>
          <w:tcPr>
            <w:tcW w:w="47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1B64877" w14:textId="77777777" w:rsidR="00B55EF3" w:rsidRPr="008704C0" w:rsidRDefault="00B55EF3">
            <w:pPr>
              <w:rPr>
                <w:rFonts w:ascii="Palatino Linotype" w:hAnsi="Palatino Linotype"/>
                <w:sz w:val="20"/>
                <w:szCs w:val="20"/>
              </w:rPr>
            </w:pPr>
          </w:p>
        </w:tc>
      </w:tr>
    </w:tbl>
    <w:p w14:paraId="41E97397" w14:textId="77777777" w:rsidR="00B55EF3" w:rsidRPr="008704C0" w:rsidRDefault="00000000">
      <w:pPr>
        <w:pStyle w:val="Heading2"/>
        <w:rPr>
          <w:rFonts w:ascii="Palatino Linotype" w:hAnsi="Palatino Linotype"/>
          <w:sz w:val="20"/>
          <w:szCs w:val="20"/>
        </w:rPr>
      </w:pPr>
      <w:r w:rsidRPr="00936C10">
        <w:rPr>
          <w:rFonts w:ascii="Palatino Linotype" w:hAnsi="Palatino Linotype"/>
          <w:color w:val="00B050"/>
          <w:sz w:val="20"/>
          <w:szCs w:val="20"/>
        </w:rPr>
        <w:t>E.2 Settlement Offer</w:t>
      </w:r>
    </w:p>
    <w:p w14:paraId="34042E4A" w14:textId="40D23DA3" w:rsidR="00B55EF3" w:rsidRPr="008704C0" w:rsidRDefault="00000000" w:rsidP="00936C10">
      <w:pPr>
        <w:spacing w:after="120"/>
        <w:jc w:val="both"/>
        <w:rPr>
          <w:rFonts w:ascii="Palatino Linotype" w:hAnsi="Palatino Linotype"/>
          <w:sz w:val="20"/>
          <w:szCs w:val="20"/>
        </w:rPr>
      </w:pPr>
      <w:r w:rsidRPr="008704C0">
        <w:rPr>
          <w:rFonts w:ascii="Palatino Linotype" w:hAnsi="Palatino Linotype"/>
          <w:sz w:val="20"/>
          <w:szCs w:val="20"/>
        </w:rPr>
        <w:t>In the interest of prompt resolution</w:t>
      </w:r>
      <w:r w:rsidR="00936C10">
        <w:rPr>
          <w:rFonts w:ascii="Palatino Linotype" w:hAnsi="Palatino Linotype"/>
          <w:sz w:val="20"/>
          <w:szCs w:val="20"/>
        </w:rPr>
        <w:t xml:space="preserve"> within 14 days </w:t>
      </w:r>
      <w:r w:rsidRPr="008704C0">
        <w:rPr>
          <w:rFonts w:ascii="Palatino Linotype" w:hAnsi="Palatino Linotype"/>
          <w:sz w:val="20"/>
          <w:szCs w:val="20"/>
        </w:rPr>
        <w:t>, NRG Bloom proposes settlement at the following level:</w:t>
      </w:r>
    </w:p>
    <w:p w14:paraId="1F709CD5" w14:textId="561AC036" w:rsidR="00B55EF3" w:rsidRPr="00936C10" w:rsidRDefault="00000000" w:rsidP="00936C10">
      <w:pPr>
        <w:spacing w:after="120"/>
        <w:jc w:val="both"/>
        <w:rPr>
          <w:rFonts w:ascii="Palatino Linotype" w:hAnsi="Palatino Linotype"/>
          <w:color w:val="C00000"/>
          <w:sz w:val="20"/>
          <w:szCs w:val="20"/>
        </w:rPr>
      </w:pPr>
      <w:r w:rsidRPr="00936C10">
        <w:rPr>
          <w:rFonts w:ascii="Palatino Linotype" w:hAnsi="Palatino Linotype"/>
          <w:b/>
          <w:bCs/>
          <w:color w:val="C00000"/>
          <w:sz w:val="20"/>
          <w:szCs w:val="20"/>
        </w:rPr>
        <w:t>NRG BLOOM’S SETTLEMENT POSITION</w:t>
      </w:r>
      <w:r w:rsidR="00936C10" w:rsidRPr="00936C10">
        <w:rPr>
          <w:rFonts w:ascii="Palatino Linotype" w:hAnsi="Palatino Linotype"/>
          <w:b/>
          <w:bCs/>
          <w:color w:val="C00000"/>
          <w:sz w:val="20"/>
          <w:szCs w:val="20"/>
        </w:rPr>
        <w:t xml:space="preserve"> </w:t>
      </w:r>
      <w:r w:rsidRPr="00936C10">
        <w:rPr>
          <w:rFonts w:ascii="Palatino Linotype" w:hAnsi="Palatino Linotype"/>
          <w:b/>
          <w:bCs/>
          <w:color w:val="C00000"/>
          <w:sz w:val="20"/>
          <w:szCs w:val="20"/>
          <w:u w:val="single"/>
        </w:rPr>
        <w:t>: (~US$</w:t>
      </w:r>
      <w:r w:rsidR="00936C10" w:rsidRPr="00936C10">
        <w:rPr>
          <w:rFonts w:ascii="Palatino Linotype" w:hAnsi="Palatino Linotype"/>
          <w:b/>
          <w:bCs/>
          <w:color w:val="C00000"/>
          <w:sz w:val="20"/>
          <w:szCs w:val="20"/>
          <w:u w:val="single"/>
        </w:rPr>
        <w:t xml:space="preserve"> 585</w:t>
      </w:r>
      <w:r w:rsidRPr="00936C10">
        <w:rPr>
          <w:rFonts w:ascii="Palatino Linotype" w:hAnsi="Palatino Linotype"/>
          <w:b/>
          <w:bCs/>
          <w:color w:val="C00000"/>
          <w:sz w:val="20"/>
          <w:szCs w:val="20"/>
          <w:u w:val="single"/>
        </w:rPr>
        <w:t>,000)</w:t>
      </w:r>
    </w:p>
    <w:p w14:paraId="3E3D69F3" w14:textId="77777777" w:rsidR="00B55EF3" w:rsidRPr="008704C0" w:rsidRDefault="00000000" w:rsidP="00936C10">
      <w:pPr>
        <w:spacing w:after="80"/>
        <w:jc w:val="both"/>
        <w:rPr>
          <w:rFonts w:ascii="Palatino Linotype" w:hAnsi="Palatino Linotype"/>
          <w:sz w:val="20"/>
          <w:szCs w:val="20"/>
        </w:rPr>
      </w:pPr>
      <w:r w:rsidRPr="008704C0">
        <w:rPr>
          <w:rFonts w:ascii="Palatino Linotype" w:hAnsi="Palatino Linotype"/>
          <w:sz w:val="20"/>
          <w:szCs w:val="20"/>
        </w:rPr>
        <w:t>This represents approximately 30–65% of NRG Bloom’s full claim value and reflects a genuine willingness to compromise. It is calculated as follows:</w:t>
      </w:r>
    </w:p>
    <w:p w14:paraId="55166F8F" w14:textId="77777777" w:rsidR="00B55EF3" w:rsidRPr="008704C0" w:rsidRDefault="00000000" w:rsidP="00936C10">
      <w:pPr>
        <w:numPr>
          <w:ilvl w:val="0"/>
          <w:numId w:val="1"/>
        </w:numPr>
        <w:pBdr>
          <w:top w:val="nil"/>
          <w:left w:val="nil"/>
          <w:bottom w:val="nil"/>
          <w:right w:val="nil"/>
          <w:between w:val="nil"/>
        </w:pBdr>
        <w:spacing w:after="60"/>
        <w:jc w:val="both"/>
        <w:rPr>
          <w:rFonts w:ascii="Palatino Linotype" w:hAnsi="Palatino Linotype"/>
          <w:sz w:val="20"/>
          <w:szCs w:val="20"/>
        </w:rPr>
      </w:pPr>
      <w:r w:rsidRPr="008704C0">
        <w:rPr>
          <w:rFonts w:ascii="Palatino Linotype" w:hAnsi="Palatino Linotype"/>
          <w:color w:val="000000"/>
          <w:sz w:val="20"/>
          <w:szCs w:val="20"/>
        </w:rPr>
        <w:t>Unpaid operations fees: full contractual entitlement</w:t>
      </w:r>
    </w:p>
    <w:p w14:paraId="58C2AA72" w14:textId="77777777" w:rsidR="00B55EF3" w:rsidRPr="008704C0" w:rsidRDefault="00000000" w:rsidP="00936C10">
      <w:pPr>
        <w:numPr>
          <w:ilvl w:val="0"/>
          <w:numId w:val="1"/>
        </w:numPr>
        <w:pBdr>
          <w:top w:val="nil"/>
          <w:left w:val="nil"/>
          <w:bottom w:val="nil"/>
          <w:right w:val="nil"/>
          <w:between w:val="nil"/>
        </w:pBdr>
        <w:spacing w:after="60"/>
        <w:jc w:val="both"/>
        <w:rPr>
          <w:rFonts w:ascii="Palatino Linotype" w:hAnsi="Palatino Linotype"/>
          <w:sz w:val="20"/>
          <w:szCs w:val="20"/>
        </w:rPr>
      </w:pPr>
      <w:r w:rsidRPr="008704C0">
        <w:rPr>
          <w:rFonts w:ascii="Palatino Linotype" w:hAnsi="Palatino Linotype"/>
          <w:color w:val="000000"/>
          <w:sz w:val="20"/>
          <w:szCs w:val="20"/>
        </w:rPr>
        <w:t>Lost revenue share: 35% share under Addendum No. 1 for a reduced (not full) projected period</w:t>
      </w:r>
    </w:p>
    <w:p w14:paraId="3F11CE07" w14:textId="77777777" w:rsidR="00B55EF3" w:rsidRPr="008704C0" w:rsidRDefault="00000000" w:rsidP="00936C10">
      <w:pPr>
        <w:numPr>
          <w:ilvl w:val="0"/>
          <w:numId w:val="1"/>
        </w:numPr>
        <w:pBdr>
          <w:top w:val="nil"/>
          <w:left w:val="nil"/>
          <w:bottom w:val="nil"/>
          <w:right w:val="nil"/>
          <w:between w:val="nil"/>
        </w:pBdr>
        <w:spacing w:after="60"/>
        <w:jc w:val="both"/>
        <w:rPr>
          <w:rFonts w:ascii="Palatino Linotype" w:hAnsi="Palatino Linotype"/>
          <w:sz w:val="20"/>
          <w:szCs w:val="20"/>
        </w:rPr>
      </w:pPr>
      <w:r w:rsidRPr="008704C0">
        <w:rPr>
          <w:rFonts w:ascii="Palatino Linotype" w:hAnsi="Palatino Linotype"/>
          <w:color w:val="000000"/>
          <w:sz w:val="20"/>
          <w:szCs w:val="20"/>
        </w:rPr>
        <w:t>Moderate compensation for circumvention of introducer role (Axxela and Ogboinbiri stakeholders)</w:t>
      </w:r>
    </w:p>
    <w:p w14:paraId="2919AAA0" w14:textId="77777777" w:rsidR="00B55EF3" w:rsidRPr="008704C0" w:rsidRDefault="00000000" w:rsidP="00936C10">
      <w:pPr>
        <w:numPr>
          <w:ilvl w:val="0"/>
          <w:numId w:val="1"/>
        </w:numPr>
        <w:pBdr>
          <w:top w:val="nil"/>
          <w:left w:val="nil"/>
          <w:bottom w:val="nil"/>
          <w:right w:val="nil"/>
          <w:between w:val="nil"/>
        </w:pBdr>
        <w:spacing w:after="60"/>
        <w:jc w:val="both"/>
        <w:rPr>
          <w:rFonts w:ascii="Palatino Linotype" w:hAnsi="Palatino Linotype"/>
          <w:sz w:val="20"/>
          <w:szCs w:val="20"/>
        </w:rPr>
      </w:pPr>
      <w:r w:rsidRPr="008704C0">
        <w:rPr>
          <w:rFonts w:ascii="Palatino Linotype" w:hAnsi="Palatino Linotype"/>
          <w:color w:val="000000"/>
          <w:sz w:val="20"/>
          <w:szCs w:val="20"/>
        </w:rPr>
        <w:t>No claim for exemplary or punitive damages (reserved for arbitration only)</w:t>
      </w:r>
    </w:p>
    <w:p w14:paraId="58B38BEC" w14:textId="77777777" w:rsidR="00B55EF3" w:rsidRPr="008704C0" w:rsidRDefault="00000000" w:rsidP="00936C10">
      <w:pPr>
        <w:numPr>
          <w:ilvl w:val="0"/>
          <w:numId w:val="1"/>
        </w:numPr>
        <w:pBdr>
          <w:top w:val="nil"/>
          <w:left w:val="nil"/>
          <w:bottom w:val="nil"/>
          <w:right w:val="nil"/>
          <w:between w:val="nil"/>
        </w:pBdr>
        <w:spacing w:after="60"/>
        <w:jc w:val="both"/>
        <w:rPr>
          <w:rFonts w:ascii="Palatino Linotype" w:hAnsi="Palatino Linotype"/>
          <w:sz w:val="20"/>
          <w:szCs w:val="20"/>
        </w:rPr>
      </w:pPr>
      <w:r w:rsidRPr="008704C0">
        <w:rPr>
          <w:rFonts w:ascii="Palatino Linotype" w:hAnsi="Palatino Linotype"/>
          <w:color w:val="000000"/>
          <w:sz w:val="20"/>
          <w:szCs w:val="20"/>
        </w:rPr>
        <w:t>No claim for future lost profits beyond a reasonable projection period</w:t>
      </w:r>
    </w:p>
    <w:p w14:paraId="7B0BC7BB" w14:textId="77777777" w:rsidR="00B55EF3" w:rsidRPr="00936C10" w:rsidRDefault="00000000" w:rsidP="00936C10">
      <w:pPr>
        <w:spacing w:before="120" w:after="160"/>
        <w:jc w:val="both"/>
        <w:rPr>
          <w:rFonts w:ascii="Palatino Linotype" w:hAnsi="Palatino Linotype"/>
          <w:color w:val="C00000"/>
          <w:sz w:val="20"/>
          <w:szCs w:val="20"/>
        </w:rPr>
      </w:pPr>
      <w:r w:rsidRPr="00936C10">
        <w:rPr>
          <w:rFonts w:ascii="Palatino Linotype" w:hAnsi="Palatino Linotype"/>
          <w:b/>
          <w:bCs/>
          <w:color w:val="C00000"/>
          <w:sz w:val="20"/>
          <w:szCs w:val="20"/>
        </w:rPr>
        <w:t xml:space="preserve">NRG Bloom wishes to be clear: </w:t>
      </w:r>
      <w:r w:rsidRPr="00936C10">
        <w:rPr>
          <w:rFonts w:ascii="Palatino Linotype" w:hAnsi="Palatino Linotype"/>
          <w:color w:val="C00000"/>
          <w:sz w:val="20"/>
          <w:szCs w:val="20"/>
        </w:rPr>
        <w:t>this settlement range represents a material discount offered for negotiation purposes only. Should this matter proceed beyond the negotiation period, NRG Bloom will advance its claim at full value, without concession, across all available heads of damage — contractual, restitutionary, and consequential — supported by the complete evidentiary record.</w:t>
      </w:r>
    </w:p>
    <w:p w14:paraId="0DFA3976" w14:textId="77777777" w:rsidR="00B55EF3" w:rsidRPr="00936C10" w:rsidRDefault="00000000">
      <w:pPr>
        <w:pStyle w:val="Heading2"/>
        <w:rPr>
          <w:rFonts w:ascii="Palatino Linotype" w:hAnsi="Palatino Linotype"/>
          <w:color w:val="00B050"/>
          <w:sz w:val="20"/>
          <w:szCs w:val="20"/>
        </w:rPr>
      </w:pPr>
      <w:r w:rsidRPr="00936C10">
        <w:rPr>
          <w:rFonts w:ascii="Palatino Linotype" w:hAnsi="Palatino Linotype"/>
          <w:color w:val="00B050"/>
          <w:sz w:val="20"/>
          <w:szCs w:val="20"/>
        </w:rPr>
        <w:t>E.3 Payment Terms</w:t>
      </w:r>
    </w:p>
    <w:p w14:paraId="537B2654" w14:textId="77777777" w:rsidR="00B55EF3" w:rsidRPr="008704C0" w:rsidRDefault="00000000">
      <w:pPr>
        <w:spacing w:after="80"/>
        <w:rPr>
          <w:rFonts w:ascii="Palatino Linotype" w:hAnsi="Palatino Linotype"/>
          <w:sz w:val="20"/>
          <w:szCs w:val="20"/>
        </w:rPr>
      </w:pPr>
      <w:r w:rsidRPr="008704C0">
        <w:rPr>
          <w:rFonts w:ascii="Palatino Linotype" w:hAnsi="Palatino Linotype"/>
          <w:sz w:val="20"/>
          <w:szCs w:val="20"/>
        </w:rPr>
        <w:t>NRG Bloom is prepared to accept:</w:t>
      </w:r>
    </w:p>
    <w:p w14:paraId="367A42C7" w14:textId="2C4D2F2D" w:rsidR="00B55EF3" w:rsidRPr="00936C10" w:rsidRDefault="00000000">
      <w:pPr>
        <w:numPr>
          <w:ilvl w:val="0"/>
          <w:numId w:val="2"/>
        </w:numPr>
        <w:pBdr>
          <w:top w:val="nil"/>
          <w:left w:val="nil"/>
          <w:bottom w:val="nil"/>
          <w:right w:val="nil"/>
          <w:between w:val="nil"/>
        </w:pBdr>
        <w:spacing w:after="60"/>
        <w:rPr>
          <w:rFonts w:ascii="Palatino Linotype" w:hAnsi="Palatino Linotype"/>
          <w:color w:val="C00000"/>
          <w:sz w:val="20"/>
          <w:szCs w:val="20"/>
          <w:u w:val="single"/>
        </w:rPr>
      </w:pPr>
      <w:r w:rsidRPr="00936C10">
        <w:rPr>
          <w:rFonts w:ascii="Palatino Linotype" w:hAnsi="Palatino Linotype"/>
          <w:b/>
          <w:bCs/>
          <w:color w:val="C00000"/>
          <w:sz w:val="20"/>
          <w:szCs w:val="20"/>
          <w:u w:val="single"/>
        </w:rPr>
        <w:t xml:space="preserve">Option 1: Lump sum </w:t>
      </w:r>
      <w:r w:rsidRPr="00936C10">
        <w:rPr>
          <w:rFonts w:ascii="Palatino Linotype" w:hAnsi="Palatino Linotype"/>
          <w:color w:val="C00000"/>
          <w:sz w:val="20"/>
          <w:szCs w:val="20"/>
          <w:u w:val="single"/>
        </w:rPr>
        <w:t>— Full payment of</w:t>
      </w:r>
      <w:r w:rsidRPr="00936C10">
        <w:rPr>
          <w:rFonts w:ascii="Palatino Linotype" w:hAnsi="Palatino Linotype"/>
          <w:b/>
          <w:bCs/>
          <w:color w:val="C00000"/>
          <w:sz w:val="20"/>
          <w:szCs w:val="20"/>
          <w:u w:val="single"/>
        </w:rPr>
        <w:t xml:space="preserve"> </w:t>
      </w:r>
      <w:r w:rsidR="00936C10" w:rsidRPr="00936C10">
        <w:rPr>
          <w:b/>
          <w:bCs/>
          <w:color w:val="C00000"/>
          <w:sz w:val="20"/>
          <w:szCs w:val="20"/>
          <w:u w:val="single"/>
        </w:rPr>
        <w:t xml:space="preserve">585,000 USD </w:t>
      </w:r>
      <w:r w:rsidRPr="00936C10">
        <w:rPr>
          <w:rFonts w:ascii="Palatino Linotype" w:hAnsi="Palatino Linotype"/>
          <w:color w:val="C00000"/>
          <w:sz w:val="20"/>
          <w:szCs w:val="20"/>
          <w:u w:val="single"/>
        </w:rPr>
        <w:t xml:space="preserve">within </w:t>
      </w:r>
      <w:r w:rsidR="00936C10" w:rsidRPr="00936C10">
        <w:rPr>
          <w:rFonts w:ascii="Palatino Linotype" w:hAnsi="Palatino Linotype"/>
          <w:color w:val="C00000"/>
          <w:sz w:val="20"/>
          <w:szCs w:val="20"/>
          <w:u w:val="single"/>
        </w:rPr>
        <w:t xml:space="preserve">14 </w:t>
      </w:r>
      <w:r w:rsidRPr="00936C10">
        <w:rPr>
          <w:rFonts w:ascii="Palatino Linotype" w:hAnsi="Palatino Linotype"/>
          <w:color w:val="C00000"/>
          <w:sz w:val="20"/>
          <w:szCs w:val="20"/>
          <w:u w:val="single"/>
        </w:rPr>
        <w:t>days of signing the settlement agreement.</w:t>
      </w:r>
    </w:p>
    <w:p w14:paraId="7B841EA5" w14:textId="56C3A773" w:rsidR="00936C10" w:rsidRPr="00936C10" w:rsidRDefault="00936C10">
      <w:pPr>
        <w:numPr>
          <w:ilvl w:val="0"/>
          <w:numId w:val="2"/>
        </w:numPr>
        <w:pBdr>
          <w:top w:val="nil"/>
          <w:left w:val="nil"/>
          <w:bottom w:val="nil"/>
          <w:right w:val="nil"/>
          <w:between w:val="nil"/>
        </w:pBdr>
        <w:spacing w:after="60"/>
        <w:rPr>
          <w:rFonts w:ascii="Palatino Linotype" w:hAnsi="Palatino Linotype"/>
          <w:color w:val="C00000"/>
          <w:sz w:val="20"/>
          <w:szCs w:val="20"/>
          <w:u w:val="single"/>
        </w:rPr>
      </w:pPr>
      <w:r w:rsidRPr="00936C10">
        <w:rPr>
          <w:rFonts w:ascii="Palatino Linotype" w:hAnsi="Palatino Linotype"/>
          <w:b/>
          <w:bCs/>
          <w:color w:val="C00000"/>
          <w:sz w:val="20"/>
          <w:szCs w:val="20"/>
          <w:u w:val="single"/>
        </w:rPr>
        <w:t>Legal Fees in the sum of 50,000 USD paid within 14 days.</w:t>
      </w:r>
    </w:p>
    <w:p w14:paraId="52DF0757" w14:textId="77777777" w:rsidR="00B55EF3" w:rsidRPr="00936C10" w:rsidRDefault="00000000">
      <w:pPr>
        <w:pStyle w:val="Heading2"/>
        <w:rPr>
          <w:rFonts w:ascii="Palatino Linotype" w:hAnsi="Palatino Linotype"/>
          <w:color w:val="00B050"/>
          <w:sz w:val="20"/>
          <w:szCs w:val="20"/>
        </w:rPr>
      </w:pPr>
      <w:r w:rsidRPr="00936C10">
        <w:rPr>
          <w:rFonts w:ascii="Palatino Linotype" w:hAnsi="Palatino Linotype"/>
          <w:color w:val="00B050"/>
          <w:sz w:val="20"/>
          <w:szCs w:val="20"/>
        </w:rPr>
        <w:t>E.4 Non-Financial Terms</w:t>
      </w:r>
    </w:p>
    <w:p w14:paraId="512976C3" w14:textId="77777777" w:rsidR="00B55EF3" w:rsidRPr="008704C0" w:rsidRDefault="00000000">
      <w:pPr>
        <w:spacing w:after="80"/>
        <w:rPr>
          <w:rFonts w:ascii="Palatino Linotype" w:hAnsi="Palatino Linotype"/>
          <w:sz w:val="20"/>
          <w:szCs w:val="20"/>
        </w:rPr>
      </w:pPr>
      <w:r w:rsidRPr="008704C0">
        <w:rPr>
          <w:rFonts w:ascii="Palatino Linotype" w:hAnsi="Palatino Linotype"/>
          <w:sz w:val="20"/>
          <w:szCs w:val="20"/>
        </w:rPr>
        <w:t>NRG Bloom also seeks the following non-financial terms as part of any settlement:</w:t>
      </w:r>
    </w:p>
    <w:p w14:paraId="3EBDEEBB" w14:textId="77777777" w:rsidR="00B55EF3" w:rsidRPr="008704C0" w:rsidRDefault="00000000">
      <w:pPr>
        <w:numPr>
          <w:ilvl w:val="0"/>
          <w:numId w:val="5"/>
        </w:numPr>
        <w:pBdr>
          <w:top w:val="nil"/>
          <w:left w:val="nil"/>
          <w:bottom w:val="nil"/>
          <w:right w:val="nil"/>
          <w:between w:val="nil"/>
        </w:pBdr>
        <w:spacing w:after="60"/>
        <w:rPr>
          <w:rFonts w:ascii="Palatino Linotype" w:hAnsi="Palatino Linotype"/>
          <w:sz w:val="20"/>
          <w:szCs w:val="20"/>
        </w:rPr>
      </w:pPr>
      <w:r w:rsidRPr="008704C0">
        <w:rPr>
          <w:rFonts w:ascii="Palatino Linotype" w:hAnsi="Palatino Linotype"/>
          <w:b/>
          <w:bCs/>
          <w:color w:val="000000"/>
          <w:sz w:val="20"/>
          <w:szCs w:val="20"/>
        </w:rPr>
        <w:t xml:space="preserve">Mutual confidentiality </w:t>
      </w:r>
      <w:r w:rsidRPr="008704C0">
        <w:rPr>
          <w:rFonts w:ascii="Palatino Linotype" w:hAnsi="Palatino Linotype"/>
          <w:color w:val="000000"/>
          <w:sz w:val="20"/>
          <w:szCs w:val="20"/>
        </w:rPr>
        <w:t>— The terms and existence of the settlement shall be strictly confidential.</w:t>
      </w:r>
    </w:p>
    <w:p w14:paraId="177C5840" w14:textId="77777777" w:rsidR="00B55EF3" w:rsidRPr="008704C0" w:rsidRDefault="00000000">
      <w:pPr>
        <w:numPr>
          <w:ilvl w:val="0"/>
          <w:numId w:val="5"/>
        </w:numPr>
        <w:pBdr>
          <w:top w:val="nil"/>
          <w:left w:val="nil"/>
          <w:bottom w:val="nil"/>
          <w:right w:val="nil"/>
          <w:between w:val="nil"/>
        </w:pBdr>
        <w:spacing w:after="60"/>
        <w:rPr>
          <w:rFonts w:ascii="Palatino Linotype" w:hAnsi="Palatino Linotype"/>
          <w:sz w:val="20"/>
          <w:szCs w:val="20"/>
        </w:rPr>
      </w:pPr>
      <w:r w:rsidRPr="008704C0">
        <w:rPr>
          <w:rFonts w:ascii="Palatino Linotype" w:hAnsi="Palatino Linotype"/>
          <w:b/>
          <w:bCs/>
          <w:color w:val="000000"/>
          <w:sz w:val="20"/>
          <w:szCs w:val="20"/>
        </w:rPr>
        <w:t xml:space="preserve">Mutual non-disparagement </w:t>
      </w:r>
      <w:r w:rsidRPr="008704C0">
        <w:rPr>
          <w:rFonts w:ascii="Palatino Linotype" w:hAnsi="Palatino Linotype"/>
          <w:color w:val="000000"/>
          <w:sz w:val="20"/>
          <w:szCs w:val="20"/>
        </w:rPr>
        <w:t>— Neither Party shall make negative public statements about the other.</w:t>
      </w:r>
    </w:p>
    <w:p w14:paraId="18523A56" w14:textId="77777777" w:rsidR="00B55EF3" w:rsidRPr="008704C0" w:rsidRDefault="00000000">
      <w:pPr>
        <w:numPr>
          <w:ilvl w:val="0"/>
          <w:numId w:val="5"/>
        </w:numPr>
        <w:pBdr>
          <w:top w:val="nil"/>
          <w:left w:val="nil"/>
          <w:bottom w:val="nil"/>
          <w:right w:val="nil"/>
          <w:between w:val="nil"/>
        </w:pBdr>
        <w:spacing w:after="60"/>
        <w:rPr>
          <w:rFonts w:ascii="Palatino Linotype" w:hAnsi="Palatino Linotype"/>
          <w:sz w:val="20"/>
          <w:szCs w:val="20"/>
        </w:rPr>
      </w:pPr>
      <w:r w:rsidRPr="008704C0">
        <w:rPr>
          <w:rFonts w:ascii="Palatino Linotype" w:hAnsi="Palatino Linotype"/>
          <w:b/>
          <w:bCs/>
          <w:color w:val="000000"/>
          <w:sz w:val="20"/>
          <w:szCs w:val="20"/>
        </w:rPr>
        <w:t xml:space="preserve">Mutual releases </w:t>
      </w:r>
      <w:r w:rsidRPr="008704C0">
        <w:rPr>
          <w:rFonts w:ascii="Palatino Linotype" w:hAnsi="Palatino Linotype"/>
          <w:color w:val="000000"/>
          <w:sz w:val="20"/>
          <w:szCs w:val="20"/>
        </w:rPr>
        <w:t xml:space="preserve">— Full and final release of all claims arising from the NDA, JV Agreement, </w:t>
      </w:r>
      <w:r w:rsidRPr="008704C0">
        <w:rPr>
          <w:rFonts w:ascii="Palatino Linotype" w:hAnsi="Palatino Linotype"/>
          <w:sz w:val="20"/>
          <w:szCs w:val="20"/>
        </w:rPr>
        <w:t>SDA</w:t>
      </w:r>
      <w:r w:rsidRPr="008704C0">
        <w:rPr>
          <w:rFonts w:ascii="Palatino Linotype" w:hAnsi="Palatino Linotype"/>
          <w:color w:val="000000"/>
          <w:sz w:val="20"/>
          <w:szCs w:val="20"/>
        </w:rPr>
        <w:t>, Addendum, and related matters.</w:t>
      </w:r>
    </w:p>
    <w:p w14:paraId="44887488" w14:textId="77777777" w:rsidR="00936C10" w:rsidRPr="00936C10" w:rsidRDefault="00000000" w:rsidP="00936C10">
      <w:pPr>
        <w:numPr>
          <w:ilvl w:val="0"/>
          <w:numId w:val="5"/>
        </w:numPr>
        <w:pBdr>
          <w:top w:val="nil"/>
          <w:left w:val="nil"/>
          <w:bottom w:val="nil"/>
          <w:right w:val="nil"/>
          <w:between w:val="nil"/>
        </w:pBdr>
        <w:spacing w:after="60"/>
        <w:rPr>
          <w:rFonts w:ascii="Palatino Linotype" w:hAnsi="Palatino Linotype"/>
          <w:sz w:val="20"/>
          <w:szCs w:val="20"/>
        </w:rPr>
      </w:pPr>
      <w:r w:rsidRPr="00936C10">
        <w:rPr>
          <w:rFonts w:ascii="Palatino Linotype" w:hAnsi="Palatino Linotype"/>
          <w:b/>
          <w:bCs/>
          <w:color w:val="000000"/>
          <w:sz w:val="20"/>
          <w:szCs w:val="20"/>
        </w:rPr>
        <w:t xml:space="preserve">Acknowledgment of NRG Bloom’s contribution </w:t>
      </w:r>
      <w:r w:rsidRPr="00936C10">
        <w:rPr>
          <w:rFonts w:ascii="Palatino Linotype" w:hAnsi="Palatino Linotype"/>
          <w:color w:val="000000"/>
          <w:sz w:val="20"/>
          <w:szCs w:val="20"/>
        </w:rPr>
        <w:t xml:space="preserve">— An internal (non-public) written acknowledgment by TON of NRG Bloom’s role in establishing the Ogboinbiri operations. </w:t>
      </w:r>
    </w:p>
    <w:p w14:paraId="55936C12" w14:textId="77777777" w:rsidR="00E441F0" w:rsidRDefault="00E441F0">
      <w:pPr>
        <w:pStyle w:val="Heading1"/>
        <w:rPr>
          <w:rFonts w:ascii="Palatino Linotype" w:hAnsi="Palatino Linotype"/>
          <w:sz w:val="20"/>
          <w:szCs w:val="20"/>
        </w:rPr>
      </w:pPr>
    </w:p>
    <w:p w14:paraId="0F5EC67F" w14:textId="77777777" w:rsidR="00E441F0" w:rsidRDefault="00E441F0" w:rsidP="00E441F0"/>
    <w:p w14:paraId="6DA04DBE" w14:textId="77777777" w:rsidR="00E441F0" w:rsidRDefault="00E441F0" w:rsidP="00E441F0"/>
    <w:p w14:paraId="7BD85A98" w14:textId="77777777" w:rsidR="00E441F0" w:rsidRDefault="00E441F0" w:rsidP="00E441F0"/>
    <w:p w14:paraId="651948D8" w14:textId="77777777" w:rsidR="00E441F0" w:rsidRPr="00E441F0" w:rsidRDefault="00E441F0" w:rsidP="00E441F0"/>
    <w:p w14:paraId="0E9C4053" w14:textId="3F8D04FF" w:rsidR="00B55EF3" w:rsidRPr="008704C0" w:rsidRDefault="00000000">
      <w:pPr>
        <w:spacing w:before="160" w:after="200"/>
        <w:rPr>
          <w:rFonts w:ascii="Palatino Linotype" w:hAnsi="Palatino Linotype"/>
          <w:sz w:val="20"/>
          <w:szCs w:val="20"/>
        </w:rPr>
      </w:pPr>
      <w:r w:rsidRPr="008704C0">
        <w:rPr>
          <w:rFonts w:ascii="Palatino Linotype" w:hAnsi="Palatino Linotype"/>
          <w:b/>
          <w:bCs/>
          <w:sz w:val="20"/>
          <w:szCs w:val="20"/>
        </w:rPr>
        <w:lastRenderedPageBreak/>
        <w:t xml:space="preserve">The settlement offer contained in this Position Summary will be withdrawn upon the commencement of </w:t>
      </w:r>
      <w:r w:rsidR="00E441F0">
        <w:rPr>
          <w:rFonts w:ascii="Palatino Linotype" w:hAnsi="Palatino Linotype"/>
          <w:b/>
          <w:bCs/>
          <w:sz w:val="20"/>
          <w:szCs w:val="20"/>
        </w:rPr>
        <w:t xml:space="preserve">mediation / </w:t>
      </w:r>
      <w:r w:rsidRPr="008704C0">
        <w:rPr>
          <w:rFonts w:ascii="Palatino Linotype" w:hAnsi="Palatino Linotype"/>
          <w:b/>
          <w:bCs/>
          <w:sz w:val="20"/>
          <w:szCs w:val="20"/>
        </w:rPr>
        <w:t>arbitration and will not be repeated at the same level.</w:t>
      </w:r>
    </w:p>
    <w:p w14:paraId="1B5C61D5" w14:textId="77777777" w:rsidR="00B55EF3" w:rsidRPr="008704C0" w:rsidRDefault="00B55EF3">
      <w:pPr>
        <w:pBdr>
          <w:bottom w:val="single" w:sz="6" w:space="1" w:color="999999"/>
        </w:pBdr>
        <w:rPr>
          <w:rFonts w:ascii="Palatino Linotype" w:hAnsi="Palatino Linotype"/>
          <w:sz w:val="20"/>
          <w:szCs w:val="20"/>
        </w:rPr>
      </w:pPr>
    </w:p>
    <w:p w14:paraId="4221EC44" w14:textId="77777777" w:rsidR="00B55EF3" w:rsidRPr="008704C0" w:rsidRDefault="00000000">
      <w:pPr>
        <w:spacing w:before="200" w:after="360"/>
        <w:rPr>
          <w:rFonts w:ascii="Palatino Linotype" w:hAnsi="Palatino Linotype"/>
          <w:sz w:val="20"/>
          <w:szCs w:val="20"/>
        </w:rPr>
      </w:pPr>
      <w:r w:rsidRPr="008704C0">
        <w:rPr>
          <w:rFonts w:ascii="Palatino Linotype" w:hAnsi="Palatino Linotype"/>
          <w:sz w:val="20"/>
          <w:szCs w:val="20"/>
        </w:rPr>
        <w:t>NRG Bloom presents this Position Summary in good faith and with a genuine desire to resolve this dispute fairly and efficiently. We look forward to receiving TON Infrastructure’s counterproposal.</w:t>
      </w:r>
    </w:p>
    <w:p w14:paraId="0CA62722" w14:textId="77777777" w:rsidR="00E441F0" w:rsidRDefault="00000000" w:rsidP="00E441F0">
      <w:pPr>
        <w:spacing w:after="200"/>
        <w:rPr>
          <w:rFonts w:ascii="Palatino Linotype" w:hAnsi="Palatino Linotype"/>
          <w:sz w:val="20"/>
          <w:szCs w:val="20"/>
        </w:rPr>
      </w:pPr>
      <w:r w:rsidRPr="008704C0">
        <w:rPr>
          <w:rFonts w:ascii="Palatino Linotype" w:hAnsi="Palatino Linotype"/>
          <w:sz w:val="20"/>
          <w:szCs w:val="20"/>
        </w:rPr>
        <w:t>For and on behalf of NRG Bloom Inc.</w:t>
      </w:r>
    </w:p>
    <w:p w14:paraId="60633B48" w14:textId="06808CCC" w:rsidR="00B55EF3" w:rsidRPr="008704C0" w:rsidRDefault="00E441F0" w:rsidP="00E441F0">
      <w:pPr>
        <w:spacing w:after="200"/>
        <w:rPr>
          <w:rFonts w:ascii="Palatino Linotype" w:hAnsi="Palatino Linotype"/>
          <w:sz w:val="20"/>
          <w:szCs w:val="20"/>
        </w:rPr>
      </w:pPr>
      <w:r>
        <w:rPr>
          <w:rFonts w:ascii="Palatino Linotype" w:hAnsi="Palatino Linotype"/>
          <w:sz w:val="20"/>
          <w:szCs w:val="20"/>
        </w:rPr>
        <w:t>Makir Volcy</w:t>
      </w:r>
    </w:p>
    <w:p w14:paraId="2B4AD276" w14:textId="77777777" w:rsidR="00B55EF3" w:rsidRDefault="00B55EF3">
      <w:pPr>
        <w:pBdr>
          <w:bottom w:val="single" w:sz="6" w:space="1" w:color="999999"/>
        </w:pBdr>
        <w:rPr>
          <w:rFonts w:ascii="Palatino Linotype" w:hAnsi="Palatino Linotype"/>
          <w:sz w:val="20"/>
          <w:szCs w:val="20"/>
        </w:rPr>
      </w:pPr>
    </w:p>
    <w:p w14:paraId="1A99412B" w14:textId="77777777" w:rsidR="00E441F0" w:rsidRDefault="00E441F0">
      <w:pPr>
        <w:pBdr>
          <w:bottom w:val="single" w:sz="6" w:space="1" w:color="999999"/>
        </w:pBdr>
        <w:rPr>
          <w:rFonts w:ascii="Palatino Linotype" w:hAnsi="Palatino Linotype"/>
          <w:sz w:val="20"/>
          <w:szCs w:val="20"/>
        </w:rPr>
      </w:pPr>
    </w:p>
    <w:p w14:paraId="4EC88B45" w14:textId="77777777" w:rsidR="00E441F0" w:rsidRPr="008704C0" w:rsidRDefault="00E441F0">
      <w:pPr>
        <w:pBdr>
          <w:bottom w:val="single" w:sz="6" w:space="1" w:color="999999"/>
        </w:pBdr>
        <w:rPr>
          <w:rFonts w:ascii="Palatino Linotype" w:hAnsi="Palatino Linotype"/>
          <w:sz w:val="20"/>
          <w:szCs w:val="20"/>
        </w:rPr>
      </w:pPr>
    </w:p>
    <w:p w14:paraId="7078B987" w14:textId="77777777" w:rsidR="00B55EF3" w:rsidRPr="008704C0" w:rsidRDefault="00000000">
      <w:pPr>
        <w:spacing w:before="120"/>
        <w:jc w:val="center"/>
        <w:rPr>
          <w:rFonts w:ascii="Palatino Linotype" w:hAnsi="Palatino Linotype"/>
          <w:sz w:val="20"/>
          <w:szCs w:val="20"/>
        </w:rPr>
      </w:pPr>
      <w:r w:rsidRPr="008704C0">
        <w:rPr>
          <w:rFonts w:ascii="Palatino Linotype" w:hAnsi="Palatino Linotype"/>
          <w:i/>
          <w:iCs/>
          <w:sz w:val="20"/>
          <w:szCs w:val="20"/>
        </w:rPr>
        <w:t>This document is marked WITHOUT PREJUDICE and constitutes PRIVILEGED &amp; CONFIDENTIAL settlement correspondence. It is inadmissible in any subsequent proceedings except as to costs.</w:t>
      </w:r>
    </w:p>
    <w:sectPr w:rsidR="00B55EF3" w:rsidRPr="008704C0">
      <w:headerReference w:type="default" r:id="rId7"/>
      <w:footerReference w:type="default" r:id="rId8"/>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3A2BF" w14:textId="77777777" w:rsidR="009D15AF" w:rsidRDefault="009D15AF">
      <w:r>
        <w:separator/>
      </w:r>
    </w:p>
  </w:endnote>
  <w:endnote w:type="continuationSeparator" w:id="0">
    <w:p w14:paraId="0503AEFA" w14:textId="77777777" w:rsidR="009D15AF" w:rsidRDefault="009D15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4EAAD18-25A2-FB4D-8827-DE0BE740EFF3}"/>
    <w:embedBold r:id="rId2" w:fontKey="{8623E223-1E30-4B4A-9CD2-9C20F06B817D}"/>
    <w:embedItalic r:id="rId3" w:fontKey="{F9472A8B-2AEF-AB4E-957F-C37793E7C751}"/>
  </w:font>
  <w:font w:name="Georgia">
    <w:panose1 w:val="02040502050405020303"/>
    <w:charset w:val="00"/>
    <w:family w:val="roman"/>
    <w:pitch w:val="variable"/>
    <w:sig w:usb0="00000287" w:usb1="00000000" w:usb2="00000000" w:usb3="00000000" w:csb0="0000009F" w:csb1="00000000"/>
    <w:embedItalic r:id="rId4" w:fontKey="{088A0D55-102F-0549-B8E7-1CDDF3057F36}"/>
  </w:font>
  <w:font w:name="Palatino Linotype">
    <w:panose1 w:val="02040502050505030304"/>
    <w:charset w:val="00"/>
    <w:family w:val="roman"/>
    <w:pitch w:val="variable"/>
    <w:sig w:usb0="E0000287" w:usb1="40000013" w:usb2="00000000" w:usb3="00000000" w:csb0="0000019F" w:csb1="00000000"/>
    <w:embedRegular r:id="rId5" w:fontKey="{B3551438-388B-CB45-8E87-FA7CCC13C193}"/>
    <w:embedBold r:id="rId6" w:fontKey="{B23BD671-2141-D947-A4C7-F55E97F3DF22}"/>
    <w:embedItalic r:id="rId7" w:fontKey="{CF833EFA-989D-E04D-854D-CF43DF1D171D}"/>
  </w:font>
  <w:font w:name="Calibri">
    <w:panose1 w:val="020F0502020204030204"/>
    <w:charset w:val="00"/>
    <w:family w:val="swiss"/>
    <w:pitch w:val="variable"/>
    <w:sig w:usb0="E0002AFF" w:usb1="C000247B" w:usb2="00000009" w:usb3="00000000" w:csb0="000001FF" w:csb1="00000000"/>
    <w:embedRegular r:id="rId8" w:fontKey="{8FD4B773-1C82-8942-B566-54A88A566043}"/>
  </w:font>
  <w:font w:name="Cambria">
    <w:panose1 w:val="02040503050406030204"/>
    <w:charset w:val="00"/>
    <w:family w:val="roman"/>
    <w:pitch w:val="variable"/>
    <w:sig w:usb0="E00002FF" w:usb1="400004FF" w:usb2="00000000" w:usb3="00000000" w:csb0="0000019F" w:csb1="00000000"/>
    <w:embedRegular r:id="rId9" w:fontKey="{FE585412-8273-1E4A-84CD-3DAA938058B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299B4" w14:textId="77777777" w:rsidR="00B55EF3"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3F48D6">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52AB1" w14:textId="77777777" w:rsidR="009D15AF" w:rsidRDefault="009D15AF">
      <w:r>
        <w:separator/>
      </w:r>
    </w:p>
  </w:footnote>
  <w:footnote w:type="continuationSeparator" w:id="0">
    <w:p w14:paraId="78A311BA" w14:textId="77777777" w:rsidR="009D15AF" w:rsidRDefault="009D15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C44DC" w14:textId="77777777" w:rsidR="00B55EF3" w:rsidRDefault="00000000">
    <w:pPr>
      <w:jc w:val="right"/>
    </w:pPr>
    <w:r>
      <w:rPr>
        <w:i/>
        <w:iCs/>
      </w:rPr>
      <w:t>NRG Bloom Inc. — Position Summary — PRIVILEGED &amp;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4C89"/>
    <w:multiLevelType w:val="multilevel"/>
    <w:tmpl w:val="EA020BC6"/>
    <w:lvl w:ilvl="0">
      <w:start w:val="1"/>
      <w:numFmt w:val="lowerLetter"/>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A7B50C3"/>
    <w:multiLevelType w:val="multilevel"/>
    <w:tmpl w:val="16B6B3F4"/>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10E54B17"/>
    <w:multiLevelType w:val="multilevel"/>
    <w:tmpl w:val="F2EAAA24"/>
    <w:lvl w:ilvl="0">
      <w:start w:val="1"/>
      <w:numFmt w:val="lowerLetter"/>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24A764F7"/>
    <w:multiLevelType w:val="multilevel"/>
    <w:tmpl w:val="56D6E7C0"/>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2EE253D9"/>
    <w:multiLevelType w:val="multilevel"/>
    <w:tmpl w:val="067E5AB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323266E9"/>
    <w:multiLevelType w:val="multilevel"/>
    <w:tmpl w:val="809EAD7C"/>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477460CF"/>
    <w:multiLevelType w:val="multilevel"/>
    <w:tmpl w:val="53240E9A"/>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5EED67D2"/>
    <w:multiLevelType w:val="multilevel"/>
    <w:tmpl w:val="7D046BAE"/>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622E397C"/>
    <w:multiLevelType w:val="multilevel"/>
    <w:tmpl w:val="FA72B49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67224068"/>
    <w:multiLevelType w:val="multilevel"/>
    <w:tmpl w:val="506248C8"/>
    <w:lvl w:ilvl="0">
      <w:start w:val="1"/>
      <w:numFmt w:val="lowerLetter"/>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6D786B14"/>
    <w:multiLevelType w:val="multilevel"/>
    <w:tmpl w:val="52D87F90"/>
    <w:lvl w:ilvl="0">
      <w:start w:val="1"/>
      <w:numFmt w:val="lowerLetter"/>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7BA7003B"/>
    <w:multiLevelType w:val="multilevel"/>
    <w:tmpl w:val="E7728540"/>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817188020">
    <w:abstractNumId w:val="5"/>
  </w:num>
  <w:num w:numId="2" w16cid:durableId="987586106">
    <w:abstractNumId w:val="1"/>
  </w:num>
  <w:num w:numId="3" w16cid:durableId="1523200595">
    <w:abstractNumId w:val="7"/>
  </w:num>
  <w:num w:numId="4" w16cid:durableId="9920760">
    <w:abstractNumId w:val="3"/>
  </w:num>
  <w:num w:numId="5" w16cid:durableId="1795713672">
    <w:abstractNumId w:val="8"/>
  </w:num>
  <w:num w:numId="6" w16cid:durableId="371854591">
    <w:abstractNumId w:val="11"/>
  </w:num>
  <w:num w:numId="7" w16cid:durableId="1736662566">
    <w:abstractNumId w:val="6"/>
  </w:num>
  <w:num w:numId="8" w16cid:durableId="1478717927">
    <w:abstractNumId w:val="9"/>
  </w:num>
  <w:num w:numId="9" w16cid:durableId="1344164752">
    <w:abstractNumId w:val="10"/>
  </w:num>
  <w:num w:numId="10" w16cid:durableId="1890989543">
    <w:abstractNumId w:val="2"/>
  </w:num>
  <w:num w:numId="11" w16cid:durableId="1890989430">
    <w:abstractNumId w:val="0"/>
  </w:num>
  <w:num w:numId="12" w16cid:durableId="20880644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EF3"/>
    <w:rsid w:val="003F48D6"/>
    <w:rsid w:val="004068B6"/>
    <w:rsid w:val="008704C0"/>
    <w:rsid w:val="00922659"/>
    <w:rsid w:val="00936C10"/>
    <w:rsid w:val="009D15AF"/>
    <w:rsid w:val="00B55EF3"/>
    <w:rsid w:val="00E441F0"/>
    <w:rsid w:val="00E6724F"/>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3786A739"/>
  <w15:docId w15:val="{6B2CDD49-0007-E94B-BF03-9C26A539B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80" w:after="140"/>
      <w:outlineLvl w:val="0"/>
    </w:pPr>
    <w:rPr>
      <w:b/>
      <w:bCs/>
      <w:color w:val="000000"/>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00" w:after="100"/>
      <w:outlineLvl w:val="1"/>
    </w:pPr>
    <w:rPr>
      <w:b/>
      <w:bCs/>
      <w:color w:val="2E74B5"/>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160" w:after="80"/>
      <w:outlineLvl w:val="2"/>
    </w:pPr>
    <w:rPr>
      <w:b/>
      <w:bCs/>
      <w:color w:val="2E74B5"/>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2924</Words>
  <Characters>16668</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dayo.adu@famsvillelaw.com</cp:lastModifiedBy>
  <cp:revision>2</cp:revision>
  <dcterms:created xsi:type="dcterms:W3CDTF">2026-02-24T13:44:00Z</dcterms:created>
  <dcterms:modified xsi:type="dcterms:W3CDTF">2026-02-24T13:44:00Z</dcterms:modified>
</cp:coreProperties>
</file>