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47A1"/>
        </w:rPr>
        <w:t>CALL CARD — Oando x NRG Bloom</w:t>
      </w:r>
    </w:p>
    <w:p>
      <w:r>
        <w:rPr>
          <w:b/>
          <w:sz w:val="24"/>
        </w:rPr>
        <w:t>March 6, 2026  |  4:00 AM ET / 9:00 AM WAT  |  Microsoft Teams</w:t>
      </w:r>
    </w:p>
    <w:p/>
    <w:p>
      <w:pPr>
        <w:pStyle w:val="Heading1"/>
      </w:pPr>
      <w:r>
        <w:rPr>
          <w:color w:val="1A1A2E"/>
        </w:rPr>
        <w:t>OPENING (5 min — you talk, then stop)</w:t>
      </w:r>
    </w:p>
    <w:p>
      <w:pPr>
        <w:ind w:left="576" w:right="576"/>
      </w:pPr>
      <w:r>
        <w:rPr>
          <w:i/>
          <w:color w:val="333333"/>
        </w:rPr>
        <w:t>"Thank you for making time, Eleas. We're glad to connect with you and the team. As you saw in the proposal, we've been operational at Ogboinbiri since February 2025 — over a year on the ground. This isn't a pitch — we're here to walk through the proposal with you, answer questions, and understand which direction fits Oando best. What stood out to your team?"</w:t>
      </w:r>
    </w:p>
    <w:p>
      <w:r>
        <w:rPr>
          <w:b/>
        </w:rPr>
        <w:t>Then stop. Let them talk.</w:t>
      </w:r>
    </w:p>
    <w:p>
      <w:r>
        <w:br w:type="page"/>
      </w:r>
    </w:p>
    <w:p>
      <w:pPr>
        <w:pStyle w:val="Heading1"/>
      </w:pPr>
      <w:r>
        <w:rPr>
          <w:color w:val="1A1A2E"/>
        </w:rPr>
        <w:t>WHEN THEY ASK ABOUT... → SAY THIS</w:t>
      </w:r>
    </w:p>
    <w:p>
      <w:pPr>
        <w:spacing w:before="160"/>
      </w:pPr>
      <w:r>
        <w:rPr>
          <w:b/>
        </w:rPr>
        <w:t>"Which pathway?"</w:t>
      </w:r>
    </w:p>
    <w:p>
      <w:pPr>
        <w:ind w:left="432"/>
      </w:pPr>
      <w:r>
        <w:t>→ Pathway 1 is the fastest — we're already connected. But if excess power is encumbered by community obligations, Pathway 3 is the cleanest for Oando: zero capex, zero infrastructure risk, you just supply gas.</w:t>
      </w:r>
      <w:r>
        <w:rPr>
          <w:i/>
          <w:color w:val="666666"/>
          <w:sz w:val="20"/>
        </w:rPr>
        <w:t xml:space="preserve">  (Proposal Section 4)</w:t>
      </w:r>
    </w:p>
    <w:p>
      <w:pPr>
        <w:spacing w:before="160"/>
      </w:pPr>
      <w:r>
        <w:rPr>
          <w:b/>
        </w:rPr>
        <w:t>"What gas volumes do you need?"</w:t>
      </w:r>
    </w:p>
    <w:p>
      <w:pPr>
        <w:ind w:left="432"/>
      </w:pPr>
      <w:r>
        <w:t>→ Pilot unit: 0.5 mmscf/d. Commercial scale, 1–5 MW: roughly 0.5–2 mmscf/d. We design modularly — we scale with what's available.</w:t>
      </w:r>
      <w:r>
        <w:rPr>
          <w:i/>
          <w:color w:val="666666"/>
          <w:sz w:val="20"/>
        </w:rPr>
        <w:t xml:space="preserve">  (Hand to Julie for Section 4.1 gas specs)</w:t>
      </w:r>
    </w:p>
    <w:p>
      <w:pPr>
        <w:spacing w:before="160"/>
      </w:pPr>
      <w:r>
        <w:rPr>
          <w:b/>
        </w:rPr>
        <w:t>"What does Oando get financially?"</w:t>
      </w:r>
    </w:p>
    <w:p>
      <w:pPr>
        <w:ind w:left="432"/>
      </w:pPr>
      <w:r>
        <w:t>→ Pathway 1: ~$730K/year. Pathway 2: ~$1.1M/year. Either way, this is gas that currently generates zero and costs you in PIA penalties. Any agreed price is pure upside.</w:t>
      </w:r>
      <w:r>
        <w:rPr>
          <w:i/>
          <w:color w:val="666666"/>
          <w:sz w:val="20"/>
        </w:rPr>
        <w:t xml:space="preserve">  (Julie leads — Sections 5–6)</w:t>
      </w:r>
    </w:p>
    <w:p>
      <w:pPr>
        <w:spacing w:before="160"/>
      </w:pPr>
      <w:r>
        <w:rPr>
          <w:b/>
        </w:rPr>
        <w:t>"What if gas supply is interrupted?"</w:t>
      </w:r>
    </w:p>
    <w:p>
      <w:pPr>
        <w:ind w:left="432"/>
      </w:pPr>
      <w:r>
        <w:t>→ We engineer for it. Battery buffer, graceful shutdown, relocatable equipment. Our base case assumes 50–70% utilization, not 100%.</w:t>
      </w:r>
      <w:r>
        <w:rPr>
          <w:i/>
          <w:color w:val="666666"/>
          <w:sz w:val="20"/>
        </w:rPr>
        <w:t xml:space="preserve">  (Julie)</w:t>
      </w:r>
    </w:p>
    <w:p>
      <w:pPr>
        <w:spacing w:before="160"/>
      </w:pPr>
      <w:r>
        <w:rPr>
          <w:b/>
        </w:rPr>
        <w:t>"You already have CarbonAi / zero flare programme"</w:t>
      </w:r>
    </w:p>
    <w:p>
      <w:pPr>
        <w:ind w:left="432"/>
      </w:pPr>
      <w:r>
        <w:t>→ CarbonAi certifies the carbon credits. We generate the cash revenue. Same gas, two value streams. We're complementary — not competitive.</w:t>
      </w:r>
      <w:r>
        <w:rPr>
          <w:i/>
          <w:color w:val="666666"/>
          <w:sz w:val="20"/>
        </w:rPr>
        <w:t xml:space="preserve">  (Proposal Section 7)</w:t>
      </w:r>
    </w:p>
    <w:p>
      <w:pPr>
        <w:spacing w:before="160"/>
      </w:pPr>
      <w:r>
        <w:rPr>
          <w:b/>
        </w:rPr>
        <w:t>"Green Flare is already doing this in Nigeria"</w:t>
      </w:r>
    </w:p>
    <w:p>
      <w:pPr>
        <w:ind w:left="432"/>
      </w:pPr>
      <w:r>
        <w:t>→ Great proof point that the model works here. They're at OML 30 — different operator, different assets. We're the only team already running on Oando infrastructure.</w:t>
      </w:r>
    </w:p>
    <w:p>
      <w:pPr>
        <w:spacing w:before="160"/>
      </w:pPr>
      <w:r>
        <w:rPr>
          <w:b/>
        </w:rPr>
        <w:t>"Can this work on OMLs 60–63?"</w:t>
      </w:r>
    </w:p>
    <w:p>
      <w:pPr>
        <w:ind w:left="432"/>
      </w:pPr>
      <w:r>
        <w:t>→ Absolutely — that's Phase 2. But for Phase 1, we recommend a site where Oando has full control — skip the JV committee timelines. Once we prove the model, expanding to JV assets is a much easier internal conversation.</w:t>
      </w:r>
      <w:r>
        <w:rPr>
          <w:i/>
          <w:color w:val="666666"/>
          <w:sz w:val="20"/>
        </w:rPr>
        <w:t xml:space="preserve">  (Section 9)</w:t>
      </w:r>
    </w:p>
    <w:p>
      <w:pPr>
        <w:spacing w:before="160"/>
      </w:pPr>
      <w:r>
        <w:rPr>
          <w:b/>
        </w:rPr>
        <w:t>"What's the risk to Oando?"</w:t>
      </w:r>
    </w:p>
    <w:p>
      <w:pPr>
        <w:ind w:left="432"/>
      </w:pPr>
      <w:r>
        <w:t>→ Minimal. Under Pathways 1 and 3, your capex is zero. We own, build, and operate everything. You provide site access and gas. No liability for data center operations.</w:t>
      </w:r>
      <w:r>
        <w:rPr>
          <w:i/>
          <w:color w:val="666666"/>
          <w:sz w:val="20"/>
        </w:rPr>
        <w:t xml:space="preserve">  (Julie — Sections 4, 7)</w:t>
      </w:r>
    </w:p>
    <w:p>
      <w:pPr>
        <w:spacing w:before="160"/>
      </w:pPr>
      <w:r>
        <w:rPr>
          <w:b/>
        </w:rPr>
        <w:t>"Are you incorporated in Nigeria?"</w:t>
      </w:r>
    </w:p>
    <w:p>
      <w:pPr>
        <w:ind w:left="432"/>
      </w:pPr>
      <w:r>
        <w:t>→ NRG Bloom Services is our registered Nigerian subsidiary. We're operational at Ogboinbiri under that entity.</w:t>
      </w:r>
      <w:r>
        <w:rPr>
          <w:i/>
          <w:color w:val="666666"/>
          <w:sz w:val="20"/>
        </w:rPr>
        <w:t xml:space="preserve">  (Dayo steps in for NCDMB / Nigerian Content)</w:t>
      </w:r>
    </w:p>
    <w:p>
      <w:pPr>
        <w:spacing w:before="160"/>
      </w:pPr>
      <w:r>
        <w:rPr>
          <w:b/>
        </w:rPr>
        <w:t>"Timeline?"</w:t>
      </w:r>
    </w:p>
    <w:p>
      <w:pPr>
        <w:ind w:left="432"/>
      </w:pPr>
      <w:r>
        <w:t>→ MOU to first megawatt: 6–9 months. That puts us at Q4 2026 — within your 2027 Zero Flare window.</w:t>
      </w:r>
    </w:p>
    <w:p>
      <w:pPr>
        <w:spacing w:before="160"/>
      </w:pPr>
      <w:r>
        <w:rPr>
          <w:b/>
        </w:rPr>
        <w:t>"Who else does this?"</w:t>
      </w:r>
    </w:p>
    <w:p>
      <w:pPr>
        <w:ind w:left="432"/>
      </w:pPr>
      <w:r>
        <w:t>→ Crusoe Energy pioneered it in the US — ~$1B revenue last year. Green Flare is building 53 MW at OML 30. NUPRC just issued 28 NGFCP permits in December. The model is validated globally and in Nigeria. We're the only one already on Oando's sites.</w:t>
      </w:r>
    </w:p>
    <w:p>
      <w:r>
        <w:br w:type="page"/>
      </w:r>
    </w:p>
    <w:p>
      <w:pPr>
        <w:pStyle w:val="Heading1"/>
      </w:pPr>
      <w:r>
        <w:rPr>
          <w:color w:val="1A1A2E"/>
        </w:rPr>
        <w:t>NUMBERS TO DROP NATURALLY</w:t>
      </w:r>
    </w:p>
    <w:p>
      <w:r>
        <w:rPr>
          <w:b/>
        </w:rPr>
        <w:t>• Oando gas sales +59% YoY in FY2025</w:t>
      </w:r>
      <w:r>
        <w:t xml:space="preserve"> — "you're ramping gas monetization, we're a ready offtaker"</w:t>
      </w:r>
    </w:p>
    <w:p>
      <w:r>
        <w:rPr>
          <w:b/>
        </w:rPr>
        <w:t>• Kwale-Okpai: 960 MW</w:t>
      </w:r>
      <w:r>
        <w:t xml:space="preserve"> — "you already know gas-to-infrastructure works"</w:t>
      </w:r>
    </w:p>
    <w:p>
      <w:r>
        <w:rPr>
          <w:b/>
        </w:rPr>
        <w:t>• 28 NGFCP permits issued Dec 2025</w:t>
      </w:r>
      <w:r>
        <w:t xml:space="preserve"> — "regulatory momentum is real"</w:t>
      </w:r>
    </w:p>
    <w:p>
      <w:r>
        <w:rPr>
          <w:b/>
        </w:rPr>
        <w:t>• $0 capex to Oando</w:t>
      </w:r>
      <w:r>
        <w:t xml:space="preserve"> — repeat this every chance you get</w:t>
      </w:r>
    </w:p>
    <w:p/>
    <w:p>
      <w:pPr>
        <w:pStyle w:val="Heading1"/>
      </w:pPr>
      <w:r>
        <w:rPr>
          <w:color w:val="1A1A2E"/>
        </w:rPr>
        <w:t>CLOSING (10 min — you steer)</w:t>
      </w:r>
    </w:p>
    <w:p>
      <w:pPr>
        <w:spacing w:before="120"/>
      </w:pPr>
      <w:r>
        <w:rPr>
          <w:b/>
        </w:rPr>
        <w:t xml:space="preserve">1. Confirm direction: </w:t>
      </w:r>
      <w:r>
        <w:rPr>
          <w:i/>
        </w:rPr>
        <w:t>"Based on what we've discussed — it sounds like [Pathway X] resonates. Does that match your team's view?"</w:t>
      </w:r>
    </w:p>
    <w:p>
      <w:pPr>
        <w:spacing w:before="120"/>
      </w:pPr>
      <w:r>
        <w:rPr>
          <w:b/>
        </w:rPr>
        <w:t xml:space="preserve">2. What they need: </w:t>
      </w:r>
      <w:r>
        <w:rPr>
          <w:i/>
        </w:rPr>
        <w:t>"What does your internal process look like from here? What do you need from us to move to the next stage?"</w:t>
      </w:r>
    </w:p>
    <w:p>
      <w:pPr>
        <w:spacing w:before="120"/>
      </w:pPr>
      <w:r>
        <w:rPr>
          <w:b/>
        </w:rPr>
        <w:t xml:space="preserve">3. Request gas data: </w:t>
      </w:r>
      <w:r>
        <w:rPr>
          <w:i/>
        </w:rPr>
        <w:t>"To finalize equipment sizing and confirm pricing, we'll need gas chromatographic data and flow measurements. Can your team provide that?"</w:t>
      </w:r>
    </w:p>
    <w:p>
      <w:pPr>
        <w:spacing w:before="120"/>
      </w:pPr>
      <w:r>
        <w:rPr>
          <w:b/>
        </w:rPr>
        <w:t xml:space="preserve">4. Propose follow-up: </w:t>
      </w:r>
      <w:r>
        <w:rPr>
          <w:i/>
        </w:rPr>
        <w:t>"Can we schedule a follow-up technical session in the next two weeks? Given this would sit under OERNL operationally, would it make sense to include Dr. Irune?"</w:t>
      </w:r>
    </w:p>
    <w:p>
      <w:pPr>
        <w:spacing w:before="120"/>
      </w:pPr>
      <w:r>
        <w:rPr>
          <w:b/>
        </w:rPr>
        <w:t xml:space="preserve">5. Close: </w:t>
      </w:r>
      <w:r>
        <w:rPr>
          <w:i/>
        </w:rPr>
        <w:t>"The proof of concept is done. We're ready to move as fast as you are."</w:t>
      </w:r>
    </w:p>
    <w:p/>
    <w:p>
      <w:pPr>
        <w:pStyle w:val="Heading1"/>
      </w:pPr>
      <w:r>
        <w:rPr>
          <w:color w:val="1A1A2E"/>
        </w:rPr>
        <w:t>DON'T</w:t>
      </w:r>
    </w:p>
    <w:p>
      <w:pPr>
        <w:pStyle w:val="ListBullet"/>
      </w:pPr>
      <w:r>
        <w:t>Don't negotiate rates — "starting points, open for discussion once we confirm pathway and site data"</w:t>
      </w:r>
    </w:p>
    <w:p>
      <w:pPr>
        <w:pStyle w:val="ListBullet"/>
      </w:pPr>
      <w:r>
        <w:t>Don't commit to equipment specs — "depends on your gas data"</w:t>
      </w:r>
    </w:p>
    <w:p>
      <w:pPr>
        <w:pStyle w:val="ListBullet"/>
      </w:pPr>
      <w:r>
        <w:t>Don't mention TON, litigation, or any internal disputes</w:t>
      </w:r>
    </w:p>
    <w:p>
      <w:pPr>
        <w:pStyle w:val="ListBullet"/>
      </w:pPr>
      <w:r>
        <w:t>Don't re-present the proposal — they've read it</w:t>
      </w:r>
    </w:p>
    <w:p>
      <w:pPr>
        <w:pStyle w:val="ListBullet"/>
      </w:pPr>
      <w:r>
        <w:t>Don't talk more than them</w:t>
      </w:r>
    </w:p>
    <w:p/>
    <w:p>
      <w:pPr>
        <w:pStyle w:val="Heading1"/>
      </w:pPr>
      <w:r>
        <w:rPr>
          <w:color w:val="1A1A2E"/>
        </w:rPr>
        <w:t>IF THINGS GO SIDEWAYS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Signal</w:t>
            </w:r>
          </w:p>
        </w:tc>
        <w:tc>
          <w:tcPr>
            <w:tcW w:type="dxa" w:w="4320"/>
          </w:tcPr>
          <w:p>
            <w:r>
              <w:rPr>
                <w:b/>
                <w:sz w:val="20"/>
              </w:rPr>
              <w:t>Do This</w:t>
            </w:r>
          </w:p>
        </w:tc>
      </w:tr>
      <w:tr>
        <w:tc>
          <w:tcPr>
            <w:tcW w:type="dxa" w:w="4320"/>
          </w:tcPr>
          <w:p>
            <w:r>
              <w:rPr>
                <w:sz w:val="20"/>
              </w:rPr>
              <w:t>"We'll be in touch" (no next step)</w:t>
            </w:r>
          </w:p>
        </w:tc>
        <w:tc>
          <w:tcPr>
            <w:tcW w:type="dxa" w:w="4320"/>
          </w:tcPr>
          <w:p>
            <w:r>
              <w:rPr>
                <w:sz w:val="20"/>
              </w:rPr>
              <w:t>"Can we lock in a date now? First or second week of March?"</w:t>
            </w:r>
          </w:p>
        </w:tc>
      </w:tr>
      <w:tr>
        <w:tc>
          <w:tcPr>
            <w:tcW w:type="dxa" w:w="4320"/>
          </w:tcPr>
          <w:p>
            <w:r>
              <w:rPr>
                <w:sz w:val="20"/>
              </w:rPr>
              <w:t>Bayo (compliance) takes over</w:t>
            </w:r>
          </w:p>
        </w:tc>
        <w:tc>
          <w:tcPr>
            <w:tcW w:type="dxa" w:w="4320"/>
          </w:tcPr>
          <w:p>
            <w:r>
              <w:rPr>
                <w:sz w:val="20"/>
              </w:rPr>
              <w:t>"Great points — can we get Eleas's technical read on gas volumes first?"</w:t>
            </w:r>
          </w:p>
        </w:tc>
      </w:tr>
      <w:tr>
        <w:tc>
          <w:tcPr>
            <w:tcW w:type="dxa" w:w="4320"/>
          </w:tcPr>
          <w:p>
            <w:r>
              <w:rPr>
                <w:sz w:val="20"/>
              </w:rPr>
              <w:t>They mention another competitor</w:t>
            </w:r>
          </w:p>
        </w:tc>
        <w:tc>
          <w:tcPr>
            <w:tcW w:type="dxa" w:w="4320"/>
          </w:tcPr>
          <w:p>
            <w:r>
              <w:rPr>
                <w:sz w:val="20"/>
              </w:rPr>
              <w:t>"Who? ...That's [differentiation]. We're the only one already on your infrastructure."</w:t>
            </w:r>
          </w:p>
        </w:tc>
      </w:tr>
      <w:tr>
        <w:tc>
          <w:tcPr>
            <w:tcW w:type="dxa" w:w="4320"/>
          </w:tcPr>
          <w:p>
            <w:r>
              <w:rPr>
                <w:sz w:val="20"/>
              </w:rPr>
              <w:t>Dead air / low energy</w:t>
            </w:r>
          </w:p>
        </w:tc>
        <w:tc>
          <w:tcPr>
            <w:tcW w:type="dxa" w:w="4320"/>
          </w:tcPr>
          <w:p>
            <w:r>
              <w:rPr>
                <w:sz w:val="20"/>
              </w:rPr>
              <w:t>"What would make this a no-brainer for Oando internally?"</w:t>
            </w:r>
          </w:p>
        </w:tc>
      </w:tr>
    </w:tbl>
    <w:p/>
    <w:p>
      <w:pPr>
        <w:jc w:val="center"/>
      </w:pPr>
      <w:r>
        <w:rPr>
          <w:i/>
          <w:color w:val="999999"/>
          <w:sz w:val="18"/>
        </w:rPr>
        <w:t>CONFIDENTIAL — NRG Bloom Internal  |  Prepared March 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