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McCarthy Tetrault Call Brief</w:t>
      </w:r>
    </w:p>
    <w:p>
      <w:pPr>
        <w:jc w:val="center"/>
      </w:pPr>
      <w:r>
        <w:rPr>
          <w:color w:val="333333"/>
          <w:sz w:val="24"/>
        </w:rPr>
        <w:t>NRG Bloom Inc. v. TON Infrastructure Ltd.</w:t>
      </w:r>
    </w:p>
    <w:p>
      <w:pPr>
        <w:jc w:val="center"/>
      </w:pPr>
      <w:r>
        <w:rPr>
          <w:color w:val="333333"/>
          <w:sz w:val="24"/>
        </w:rPr>
        <w:t>Friday, March 6, 2026 — 10:00 AM ET</w:t>
      </w:r>
    </w:p>
    <w:p>
      <w:pPr>
        <w:jc w:val="center"/>
      </w:pPr>
      <w:r>
        <w:rPr>
          <w:b/>
          <w:color w:val="333333"/>
          <w:sz w:val="24"/>
        </w:rPr>
        <w:t>CONFIDENTIAL — ATTORNEY-CLIENT PRIVILEGED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CALL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Date/Time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Friday, March 6, 2026 — 10:00 AM ET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Microsoft Teams (link pending conflicts clearance)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NRG Bloom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Makir Volcy (CEO), Dayo Adu (Managing Partner, Moroom Africa)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McCarthy Tetrault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Sarit Batner (Partner, Band 1 Chambers Canada — Litigation)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Introductory call — assess Alberta litigation path, limitation period, protective filing, fee structure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~60 minutes</w:t>
            </w:r>
          </w:p>
        </w:tc>
      </w:tr>
    </w:tbl>
    <w:p>
      <w:pPr>
        <w:spacing w:before="4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OVERNIGHT DEVELOPMENT: TON'S POSITION PAPER RECEIVED</w:t>
      </w:r>
    </w:p>
    <w:p>
      <w:pPr>
        <w:spacing w:after="80"/>
      </w:pPr>
      <w:r>
        <w:rPr>
          <w:b/>
        </w:rPr>
        <w:t>TON submitted their Position Summary last night (March 5, 11:57 PM WAT).</w:t>
      </w:r>
      <w:r>
        <w:t xml:space="preserve"> This changes the dynamics of the call. Key facts:</w:t>
      </w:r>
    </w:p>
    <w:p>
      <w:pPr>
        <w:pStyle w:val="ListBullet"/>
        <w:spacing w:after="40"/>
      </w:pPr>
      <w:r>
        <w:rPr>
          <w:b/>
        </w:rPr>
        <w:t>44-page document</w:t>
      </w:r>
      <w:r>
        <w:t xml:space="preserve"> with 8 exhibits (A-H)</w:t>
      </w:r>
    </w:p>
    <w:p>
      <w:pPr>
        <w:pStyle w:val="ListBullet"/>
        <w:spacing w:after="40"/>
      </w:pPr>
      <w:r>
        <w:rPr>
          <w:b/>
        </w:rPr>
        <w:t>Settlement offer: USD $10,000</w:t>
      </w:r>
      <w:r>
        <w:t xml:space="preserve"> over 12 months — insulting (0.065% of our claim)</w:t>
      </w:r>
    </w:p>
    <w:p>
      <w:pPr>
        <w:pStyle w:val="ListBullet"/>
        <w:spacing w:after="40"/>
      </w:pPr>
      <w:r>
        <w:rPr>
          <w:b/>
        </w:rPr>
        <w:t>5-day deadline</w:t>
      </w:r>
      <w:r>
        <w:t>: Offer expires March 10 COB MST</w:t>
      </w:r>
    </w:p>
    <w:p>
      <w:pPr>
        <w:pStyle w:val="ListBullet"/>
        <w:spacing w:after="40"/>
      </w:pPr>
      <w:r>
        <w:rPr>
          <w:b/>
        </w:rPr>
        <w:t>TON has retained Alberta counsel</w:t>
      </w:r>
      <w:r>
        <w:t>: Gary Zimmermann at McLennan Ross</w:t>
      </w:r>
    </w:p>
    <w:p>
      <w:pPr>
        <w:pStyle w:val="ListBullet"/>
        <w:spacing w:after="40"/>
      </w:pPr>
      <w:r>
        <w:rPr>
          <w:b/>
        </w:rPr>
        <w:t>Sneaky routing</w:t>
      </w:r>
      <w:r>
        <w:t>: Sent directly to Dayo only, bypassing the existing email thread that included Makir, Julie, Brian Claypool, Jeff Jespersen</w:t>
      </w:r>
    </w:p>
    <w:p>
      <w:pPr>
        <w:pStyle w:val="ListBullet"/>
        <w:spacing w:after="40"/>
      </w:pPr>
      <w:r>
        <w:rPr>
          <w:b/>
        </w:rPr>
        <w:t>Dayo responded within 40 minutes</w:t>
      </w:r>
      <w:r>
        <w:t xml:space="preserve"> — outright rejection, dismantled their defenses, referenced Phoenix Trading, announced multi-jurisdictional proceedings</w:t>
      </w:r>
    </w:p>
    <w:p>
      <w:pPr>
        <w:spacing w:after="80"/>
      </w:pPr>
      <w:r>
        <w:rPr>
          <w:b/>
        </w:rPr>
        <w:t>Full counter-analysis saved at</w:t>
      </w:r>
      <w:r>
        <w:t xml:space="preserve">: </w:t>
      </w:r>
      <w:r>
        <w:rPr>
          <w:rFonts w:ascii="Courier New" w:hAnsi="Courier New"/>
          <w:color w:val="444444"/>
          <w:sz w:val="17"/>
        </w:rPr>
        <w:t>ton-position-summary-counter-analysis-2026-03-05.md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1. CASE SUMMARY (2-MINUTE VERSION FOR SARIT)</w:t>
      </w:r>
    </w:p>
    <w:p>
      <w:pPr>
        <w:spacing w:after="80"/>
      </w:pPr>
      <w:r>
        <w:t>NRG Bloom is a Canadian company (Quebec) that conceived, originated, and operationally managed a Bitcoin mining venture in Nigeria. TON Infrastructure (Alberta) was brought in as the capital/equipment partner.</w:t>
      </w:r>
    </w:p>
    <w:p>
      <w:pPr>
        <w:spacing w:after="80"/>
      </w:pPr>
      <w:r>
        <w:t>Over 13 months (Feb 2025 — Feb 2026), TON systematically:</w:t>
      </w:r>
    </w:p>
    <w:p>
      <w:pPr>
        <w:pStyle w:val="ListNumber"/>
        <w:spacing w:after="40"/>
      </w:pPr>
      <w:r>
        <w:rPr>
          <w:b/>
        </w:rPr>
        <w:t>Devalued</w:t>
      </w:r>
      <w:r>
        <w:t xml:space="preserve"> NRG Bloom's position from $9,000/month + 1MW ownership down to $875/month + 8% revenue, through repeated termination threats</w:t>
      </w:r>
    </w:p>
    <w:p>
      <w:pPr>
        <w:pStyle w:val="ListNumber"/>
        <w:spacing w:after="40"/>
      </w:pPr>
      <w:r>
        <w:rPr>
          <w:b/>
        </w:rPr>
        <w:t>Circumvented</w:t>
      </w:r>
      <w:r>
        <w:t xml:space="preserve"> NRG Bloom by secretly dealing with Axxela (a gas company NRG Bloom originated and developed for 3 months) — documented in 15 emails over 15 days with Makir excluded</w:t>
      </w:r>
    </w:p>
    <w:p>
      <w:pPr>
        <w:pStyle w:val="ListNumber"/>
        <w:spacing w:after="40"/>
      </w:pPr>
      <w:r>
        <w:rPr>
          <w:b/>
        </w:rPr>
        <w:t>Manufactured a termination</w:t>
      </w:r>
      <w:r>
        <w:t xml:space="preserve"> — refused the operations fee, then terminated for "non-operational" status</w:t>
      </w:r>
    </w:p>
    <w:p>
      <w:pPr>
        <w:pStyle w:val="ListNumber"/>
        <w:spacing w:after="40"/>
      </w:pPr>
      <w:r>
        <w:rPr>
          <w:b/>
        </w:rPr>
        <w:t>Offered $10,000</w:t>
      </w:r>
      <w:r>
        <w:t xml:space="preserve"> to settle a $600K+ claim backed by documentary evidence</w:t>
      </w:r>
    </w:p>
    <w:p>
      <w:pPr>
        <w:spacing w:after="80"/>
      </w:pPr>
      <w:r>
        <w:t>Tyler MacPherson (TON's Founder) has a prior 2022 U.S. lawsuit in the same industry with 13 causes of action — establishing a pattern of conduct.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2. THE FOUR AGREEMENTS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Agreement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Key Terms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sz w:val="18"/>
              </w:rPr>
              <w:t>Mutual NDA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Jan 10, 2025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Non-circumvention, non-disclosure — Alberta law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Binding</w:t>
            </w:r>
          </w:p>
        </w:tc>
      </w:tr>
      <w:tr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JV Agreement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Feb 19, 2025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1MW + $9,000/month + Section 5 exclusivity: "TON agrees all current and future Bitcoin mining projects in Nigeria will be done exclusively with NRG BLOOM" + 90-day termination notice + 30-day cure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Binding — may be superseded by SDA (check "entire agreement" clause)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SDA (Site Development &amp; Revenue Sharing)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May 16, 2025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8% net revenue + $875/month ops fee + Section 5 discontinuation right — Alberta law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Binding — signed under duress (Tyler's "calculated tactic" termination threat May 12)</w:t>
            </w:r>
          </w:p>
        </w:tc>
      </w:tr>
      <w:tr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Addendum No. 1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Jul 3, 2025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Revenue split modification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Binding</w:t>
            </w:r>
          </w:p>
        </w:tc>
      </w:tr>
    </w:tbl>
    <w:p>
      <w:pPr>
        <w:spacing w:before="40"/>
      </w:pPr>
    </w:p>
    <w:p>
      <w:pPr>
        <w:spacing w:after="80"/>
      </w:pPr>
      <w:r>
        <w:rPr>
          <w:b/>
        </w:rPr>
        <w:t>CRITICAL QUESTION FOR SARIT</w:t>
      </w:r>
      <w:r>
        <w:t xml:space="preserve">: Does the May 16 SDA contain an "entire agreement" clause that supersedes the JV Agreement? If yes, the JV exclusivity clause and 90-day notice become background evidence only, not independent causes of action. </w:t>
      </w:r>
      <w:r>
        <w:rPr>
          <w:b/>
        </w:rPr>
        <w:t>Dayo must check the signed SDA immediately.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 FIVE LEGAL THEORIES (FROM ALBERTA LITIGATION ANALYSIS)</w:t>
      </w:r>
    </w:p>
    <w:p>
      <w:pPr>
        <w:pStyle w:val="Heading3"/>
      </w:pPr>
      <w:r>
        <w:t>Theory 1: Breach of Contract</w:t>
      </w:r>
    </w:p>
    <w:p>
      <w:pPr>
        <w:pStyle w:val="ListBullet"/>
        <w:spacing w:after="40"/>
      </w:pPr>
      <w:r>
        <w:t>Breach of MNDA non-circumvention (Axxela exclusion)</w:t>
      </w:r>
    </w:p>
    <w:p>
      <w:pPr>
        <w:pStyle w:val="ListBullet"/>
        <w:spacing w:after="40"/>
      </w:pPr>
      <w:r>
        <w:t>Breach of SDA termination provisions (zero-day notice vs. 30-day requirement)</w:t>
      </w:r>
    </w:p>
    <w:p>
      <w:pPr>
        <w:pStyle w:val="ListBullet"/>
        <w:spacing w:after="40"/>
      </w:pPr>
      <w:r>
        <w:t>Breach of JV exclusivity clause (if not superseded)</w:t>
      </w:r>
    </w:p>
    <w:p>
      <w:pPr>
        <w:pStyle w:val="ListBullet"/>
        <w:spacing w:after="40"/>
      </w:pPr>
      <w:r>
        <w:rPr>
          <w:b/>
        </w:rPr>
        <w:t>Strength</w:t>
      </w:r>
      <w:r>
        <w:t>: STRONG — documentary evidence is iron-clad</w:t>
      </w:r>
    </w:p>
    <w:p>
      <w:pPr>
        <w:pStyle w:val="Heading3"/>
      </w:pPr>
      <w:r>
        <w:t>Theory 2: Breach of Duty of Honest Performance (*Bhasin v. Hrynew*, 2014 SCC 71)</w:t>
      </w:r>
    </w:p>
    <w:p>
      <w:pPr>
        <w:pStyle w:val="ListBullet"/>
        <w:spacing w:after="40"/>
      </w:pPr>
      <w:r>
        <w:t>Tyler's "calculated tactic" termination as negotiation leverage</w:t>
      </w:r>
    </w:p>
    <w:p>
      <w:pPr>
        <w:pStyle w:val="ListBullet"/>
        <w:spacing w:after="40"/>
      </w:pPr>
      <w:r>
        <w:t>Marley's false July 4 email to Axxela: "NRG Bloom is fully aware"</w:t>
      </w:r>
    </w:p>
    <w:p>
      <w:pPr>
        <w:pStyle w:val="ListBullet"/>
        <w:spacing w:after="40"/>
      </w:pPr>
      <w:r>
        <w:t>Progressive devaluation through repeated threats</w:t>
      </w:r>
    </w:p>
    <w:p>
      <w:pPr>
        <w:pStyle w:val="ListBullet"/>
        <w:spacing w:after="40"/>
      </w:pPr>
      <w:r>
        <w:t>Manufactured termination (refused ops fee, then terminated for non-operation)</w:t>
      </w:r>
    </w:p>
    <w:p>
      <w:pPr>
        <w:pStyle w:val="ListBullet"/>
        <w:spacing w:after="40"/>
      </w:pPr>
      <w:r>
        <w:rPr>
          <w:b/>
        </w:rPr>
        <w:t>Strength</w:t>
      </w:r>
      <w:r>
        <w:t xml:space="preserve">: STRONG — </w:t>
      </w:r>
      <w:r>
        <w:rPr>
          <w:i/>
        </w:rPr>
        <w:t>Bhasin</w:t>
      </w:r>
      <w:r>
        <w:t xml:space="preserve"> originated in Alberta; Alberta courts are receptive</w:t>
      </w:r>
    </w:p>
    <w:p>
      <w:pPr>
        <w:pStyle w:val="Heading3"/>
      </w:pPr>
      <w:r>
        <w:t>Theory 3: Breach of Fiduciary Duty</w:t>
      </w:r>
    </w:p>
    <w:p>
      <w:pPr>
        <w:pStyle w:val="ListBullet"/>
        <w:spacing w:after="40"/>
      </w:pPr>
      <w:r>
        <w:t>JV-like relationship creates fiduciary obligations</w:t>
      </w:r>
    </w:p>
    <w:p>
      <w:pPr>
        <w:pStyle w:val="ListBullet"/>
        <w:spacing w:after="40"/>
      </w:pPr>
      <w:r>
        <w:t>TON exploited confidential information (Axxela contacts, gas pricing, site intelligence)</w:t>
      </w:r>
    </w:p>
    <w:p>
      <w:pPr>
        <w:pStyle w:val="ListBullet"/>
        <w:spacing w:after="40"/>
      </w:pPr>
      <w:r>
        <w:t xml:space="preserve">Remedy: </w:t>
      </w:r>
      <w:r>
        <w:rPr>
          <w:b/>
        </w:rPr>
        <w:t>disgorgement of ALL profits</w:t>
      </w:r>
      <w:r>
        <w:t xml:space="preserve"> (</w:t>
      </w:r>
      <w:r>
        <w:rPr>
          <w:i/>
        </w:rPr>
        <w:t>Strother v. 3464920 Canada</w:t>
      </w:r>
      <w:r>
        <w:t>, 2007 SCC)</w:t>
      </w:r>
    </w:p>
    <w:p>
      <w:pPr>
        <w:pStyle w:val="ListBullet"/>
        <w:spacing w:after="40"/>
      </w:pPr>
      <w:r>
        <w:rPr>
          <w:b/>
        </w:rPr>
        <w:t>Strength</w:t>
      </w:r>
      <w:r>
        <w:t>: MODERATE — requires establishing fiduciary relationship existed</w:t>
      </w:r>
    </w:p>
    <w:p>
      <w:pPr>
        <w:pStyle w:val="Heading3"/>
      </w:pPr>
      <w:r>
        <w:t>Theory 4: Breach of Confidence (*LAC Minerals v. International Corona*, 1989 SCC)</w:t>
      </w:r>
    </w:p>
    <w:p>
      <w:pPr>
        <w:pStyle w:val="ListBullet"/>
        <w:spacing w:after="40"/>
      </w:pPr>
      <w:r>
        <w:t>NRG Bloom shared confidential information in circumstances of confidence</w:t>
      </w:r>
    </w:p>
    <w:p>
      <w:pPr>
        <w:pStyle w:val="ListBullet"/>
        <w:spacing w:after="40"/>
      </w:pPr>
      <w:r>
        <w:t>TON used that information to its own advantage (direct Axxela engagement)</w:t>
      </w:r>
    </w:p>
    <w:p>
      <w:pPr>
        <w:pStyle w:val="ListBullet"/>
        <w:spacing w:after="40"/>
      </w:pPr>
      <w:r>
        <w:t>Remedy: constructive trust over the Axxela opportunity</w:t>
      </w:r>
    </w:p>
    <w:p>
      <w:pPr>
        <w:pStyle w:val="ListBullet"/>
        <w:spacing w:after="40"/>
      </w:pPr>
      <w:r>
        <w:rPr>
          <w:b/>
        </w:rPr>
        <w:t>Strength</w:t>
      </w:r>
      <w:r>
        <w:t xml:space="preserve">: STRONG — direct parallel to </w:t>
      </w:r>
      <w:r>
        <w:rPr>
          <w:i/>
        </w:rPr>
        <w:t>LAC Minerals</w:t>
      </w:r>
      <w:r>
        <w:t xml:space="preserve"> facts</w:t>
      </w:r>
    </w:p>
    <w:p>
      <w:pPr>
        <w:pStyle w:val="Heading3"/>
      </w:pPr>
      <w:r>
        <w:t>Theory 5: Tortious Interference with Economic Relations</w:t>
      </w:r>
    </w:p>
    <w:p>
      <w:pPr>
        <w:pStyle w:val="ListBullet"/>
        <w:spacing w:after="40"/>
      </w:pPr>
      <w:r>
        <w:t>Marley's false email interfered with NRG Bloom's Axxela relationship</w:t>
      </w:r>
    </w:p>
    <w:p>
      <w:pPr>
        <w:pStyle w:val="ListBullet"/>
        <w:spacing w:after="40"/>
      </w:pPr>
      <w:r>
        <w:t>TON's conduct destroyed NRG Bloom's business expectancy</w:t>
      </w:r>
    </w:p>
    <w:p>
      <w:pPr>
        <w:pStyle w:val="ListBullet"/>
        <w:spacing w:after="40"/>
      </w:pPr>
      <w:r>
        <w:rPr>
          <w:b/>
        </w:rPr>
        <w:t>Strength</w:t>
      </w:r>
      <w:r>
        <w:t>: MODERATE — elements are present but tort claims in Alberta are narrower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 TON'S LEGAL DEFENSES (FROM THEIR POSITION PAPER)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Defense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Their Argument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Our Counter</w:t>
            </w:r>
          </w:p>
        </w:tc>
        <w:tc>
          <w:tcPr>
            <w:tcW w:type="dxa" w:w="2412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Strength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sz w:val="18"/>
              </w:rPr>
              <w:t>Section 5 — Discontinuation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Bars all damages from TON's exit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Terminated MID-phase (clause requires completion); absent from original JVA; doesn't cover Axxela; unconscionable if 13 months consumed for $0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WEAK</w:t>
            </w:r>
          </w:p>
        </w:tc>
      </w:tr>
      <w:tr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Section 9 — Unconditional Termination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Right to terminate at will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Gave 0 days notice vs. 30-day requirement; doesn't extinguish pre-termination bad faith claims; JVA required 90 days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MODERATE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sz w:val="18"/>
              </w:rPr>
              <w:t>Affirmation Doctrine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13 months of performance = waiver of duress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6+ documented objections; duress was continuous; BCC'd lawyer since July 2025; never a period duress ceased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MODERATE</w:t>
            </w:r>
          </w:p>
        </w:tc>
      </w:tr>
      <w:tr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NRG Bloom Services Ltd standing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Nigerian entity incorporated after SDA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Claimant is NRG Bloom Inc. (Canada); TON concedes agency at 2.1.4 of their own response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VERY WEAK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sz w:val="18"/>
              </w:rPr>
              <w:t>MNDA — Alberta courts only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Circumvention subject only to Alberta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Alberta = Bhasin territory; circumvention also actionable under JVA exclusivity (Nigeria); doubles TON's legal costs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DOUBLE-EDGED</w:t>
            </w:r>
          </w:p>
        </w:tc>
      </w:tr>
      <w:tr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SVP caps damages at $5K/MW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NRG Bloom's own Axxela valuation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Unexecuted proposal; can't cap damages from separate binding agreement; TON's own model = $264K/month</w:t>
            </w:r>
          </w:p>
        </w:tc>
        <w:tc>
          <w:tcPr>
            <w:tcW w:type="dxa" w:w="2412"/>
            <w:shd w:fill="F8F9FA"/>
          </w:tcPr>
          <w:p>
            <w:r/>
            <w:r>
              <w:rPr>
                <w:rFonts w:ascii="Arial" w:hAnsi="Arial"/>
                <w:sz w:val="18"/>
              </w:rPr>
              <w:t>VERY WEAK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sz w:val="18"/>
              </w:rPr>
              <w:t>No revenue = no damages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No Bitcoin mined, no entitlement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Multiple heads (reliance, quantum meruit, unjust enrichment, disgorgement); TON manufactured the no-revenue condition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sz w:val="18"/>
              </w:rPr>
              <w:t>WEAK</w:t>
            </w:r>
          </w:p>
        </w:tc>
      </w:tr>
    </w:tbl>
    <w:p>
      <w:pPr>
        <w:spacing w:before="4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5. DAMAGES QUANTIFICATION</w:t>
      </w:r>
    </w:p>
    <w:p>
      <w:pPr>
        <w:pStyle w:val="Heading3"/>
      </w:pPr>
      <w:r>
        <w:t>Current Claim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Head of Damage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Direct expenditures (reliance)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~$47,127 USD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Documented, contemporaneous (expenditure ledger)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Unpaid operations fees (contract)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~$11,375 USD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$875/month x 13 months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Axxela circumvention (lost opportunity)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$200K — $3.2M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Billay model: $264,668/month x 5-12 months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Progressive devaluation (enrichment)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$120K — $200K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Difference between JVA terms and SDA terms over 13 months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sz w:val="18"/>
              </w:rPr>
              <w:t>Aggravated/punitive damages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Multiplier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Pattern of conduct, Phoenix Trading, Whiten v. Pilot Insurance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Disgorgement (if fiduciary found)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Full TON profits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Strother remedy — ALL Axxela profits returned</w:t>
            </w:r>
          </w:p>
        </w:tc>
      </w:tr>
    </w:tbl>
    <w:p>
      <w:pPr>
        <w:spacing w:before="40"/>
      </w:pPr>
    </w:p>
    <w:p>
      <w:pPr>
        <w:pStyle w:val="Heading3"/>
      </w:pPr>
      <w:r>
        <w:t>Settlement vs. Litigation Range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NRG Bloom settlement demand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$727,000 USD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NRG Bloom walk-away floor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$500,000 USD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TON's offer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$10,000 USD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TON's estimated settle zone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$75K — $150K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Realistic arbitration outcome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$200K — $400K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Conservative litigation (Alberta)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$1.6M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sz w:val="18"/>
              </w:rPr>
              <w:t>Aggressive litigation (Alberta)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$6M+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b/>
                <w:sz w:val="18"/>
              </w:rPr>
              <w:t>Gap (current)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$717,000</w:t>
            </w:r>
          </w:p>
        </w:tc>
      </w:tr>
    </w:tbl>
    <w:p>
      <w:pPr>
        <w:spacing w:before="4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 PHOENIX TRADING FZCO v. DENNIS CORP — TYLER'S PRIOR LAWSUIT</w:t>
      </w:r>
    </w:p>
    <w:p>
      <w:pPr>
        <w:pStyle w:val="Heading3"/>
      </w:pPr>
      <w:r>
        <w:t>The Facts</w:t>
      </w:r>
    </w:p>
    <w:p>
      <w:pPr>
        <w:pStyle w:val="ListBullet"/>
        <w:spacing w:after="40"/>
      </w:pPr>
      <w:r>
        <w:rPr>
          <w:b/>
        </w:rPr>
        <w:t>Case</w:t>
      </w:r>
      <w:r>
        <w:t>: Phoenix Trading FZCO et al v. Dennis Corp. et al, 4:22-cv-02355-RBH</w:t>
      </w:r>
    </w:p>
    <w:p>
      <w:pPr>
        <w:pStyle w:val="ListBullet"/>
        <w:spacing w:after="40"/>
      </w:pPr>
      <w:r>
        <w:rPr>
          <w:b/>
        </w:rPr>
        <w:t>Court</w:t>
      </w:r>
      <w:r>
        <w:t>: U.S. District Court, District of South Carolina (2022)</w:t>
      </w:r>
    </w:p>
    <w:p>
      <w:pPr>
        <w:pStyle w:val="ListBullet"/>
        <w:spacing w:after="40"/>
      </w:pPr>
      <w:r>
        <w:rPr>
          <w:b/>
        </w:rPr>
        <w:t>Tyler's involvement</w:t>
      </w:r>
      <w:r>
        <w:t>: Named defendant as Tyler MacPhearson / The Crypto Can Man Ltd. (Alberta corporation)</w:t>
      </w:r>
    </w:p>
    <w:p>
      <w:pPr>
        <w:pStyle w:val="ListBullet"/>
        <w:spacing w:after="40"/>
      </w:pPr>
      <w:r>
        <w:rPr>
          <w:b/>
        </w:rPr>
        <w:t>Scale</w:t>
      </w:r>
      <w:r>
        <w:t>: 7 plaintiffs, 8 defendants across 4 countries (USA, Canada, UAE, UK)</w:t>
      </w:r>
    </w:p>
    <w:p>
      <w:pPr>
        <w:pStyle w:val="ListBullet"/>
        <w:spacing w:after="40"/>
      </w:pPr>
      <w:r>
        <w:rPr>
          <w:b/>
        </w:rPr>
        <w:t>13 causes of action</w:t>
      </w:r>
      <w:r>
        <w:t xml:space="preserve"> — cryptocurrency mining facility construction dispute</w:t>
      </w:r>
    </w:p>
    <w:p>
      <w:pPr>
        <w:pStyle w:val="ListBullet"/>
        <w:spacing w:after="40"/>
      </w:pPr>
      <w:r>
        <w:rPr>
          <w:b/>
        </w:rPr>
        <w:t>Co-defendant</w:t>
      </w:r>
      <w:r>
        <w:t>: Phil Harvey (CEO of Sabre56, one of world's largest Bitcoin mining consultants)</w:t>
      </w:r>
    </w:p>
    <w:p>
      <w:pPr>
        <w:pStyle w:val="ListBullet"/>
        <w:spacing w:after="40"/>
      </w:pPr>
      <w:r>
        <w:rPr>
          <w:b/>
        </w:rPr>
        <w:t>Outcome</w:t>
      </w:r>
      <w:r>
        <w:t>: Remanded to state court; no public outcome available</w:t>
      </w:r>
    </w:p>
    <w:p>
      <w:pPr>
        <w:pStyle w:val="Heading3"/>
      </w:pPr>
      <w:r>
        <w:t>Relevance — Same Pattern of Conduct</w:t>
      </w:r>
    </w:p>
    <w:p>
      <w:pPr>
        <w:pStyle w:val="ListBullet"/>
        <w:spacing w:after="40"/>
      </w:pPr>
      <w:r>
        <w:t>Same person (Tyler MacPhearson/Macpherson)</w:t>
      </w:r>
    </w:p>
    <w:p>
      <w:pPr>
        <w:pStyle w:val="ListBullet"/>
        <w:spacing w:after="40"/>
      </w:pPr>
      <w:r>
        <w:t>Same province (Alberta)</w:t>
      </w:r>
    </w:p>
    <w:p>
      <w:pPr>
        <w:pStyle w:val="ListBullet"/>
        <w:spacing w:after="40"/>
      </w:pPr>
      <w:r>
        <w:t>Same industry (cryptocurrency mining)</w:t>
      </w:r>
    </w:p>
    <w:p>
      <w:pPr>
        <w:pStyle w:val="ListBullet"/>
        <w:spacing w:after="40"/>
      </w:pPr>
      <w:r>
        <w:t>Same business model (multi-party mining JVs)</w:t>
      </w:r>
    </w:p>
    <w:p>
      <w:pPr>
        <w:pStyle w:val="ListBullet"/>
        <w:spacing w:after="40"/>
      </w:pPr>
      <w:r>
        <w:t>Same dispute pattern (partnership breakdown, multiple causes of action)</w:t>
      </w:r>
    </w:p>
    <w:p>
      <w:pPr>
        <w:pStyle w:val="Heading3"/>
      </w:pPr>
      <w:r>
        <w:t>Legal Applications</w:t>
      </w:r>
    </w:p>
    <w:p>
      <w:pPr>
        <w:pStyle w:val="ListNumber"/>
        <w:spacing w:after="40"/>
      </w:pPr>
      <w:r>
        <w:rPr>
          <w:b/>
        </w:rPr>
        <w:t>Similar fact evidence</w:t>
      </w:r>
      <w:r>
        <w:t xml:space="preserve"> — establishes pattern, rebuts claim of accidental circumvention</w:t>
      </w:r>
    </w:p>
    <w:p>
      <w:pPr>
        <w:pStyle w:val="ListNumber"/>
        <w:spacing w:after="40"/>
      </w:pPr>
      <w:r>
        <w:rPr>
          <w:b/>
        </w:rPr>
        <w:t>Punitive damages threshold</w:t>
      </w:r>
      <w:r>
        <w:t xml:space="preserve"> — </w:t>
      </w:r>
      <w:r>
        <w:rPr>
          <w:i/>
        </w:rPr>
        <w:t>Whiten v. Pilot Insurance</w:t>
      </w:r>
      <w:r>
        <w:t xml:space="preserve"> ($1M punitive); </w:t>
      </w:r>
      <w:r>
        <w:rPr>
          <w:i/>
        </w:rPr>
        <w:t>Baker v. Blue Cross</w:t>
      </w:r>
      <w:r>
        <w:t xml:space="preserve"> ($1.5M, 2023). Prior pattern = stronger case for "malicious, oppressive, high-handed" conduct</w:t>
      </w:r>
    </w:p>
    <w:p>
      <w:pPr>
        <w:pStyle w:val="ListNumber"/>
        <w:spacing w:after="40"/>
      </w:pPr>
      <w:r>
        <w:rPr>
          <w:b/>
        </w:rPr>
        <w:t>Discovery leverage</w:t>
      </w:r>
      <w:r>
        <w:t xml:space="preserve"> — can request all 2022 case documents, settlement terms, communications</w:t>
      </w:r>
    </w:p>
    <w:p>
      <w:pPr>
        <w:pStyle w:val="ListNumber"/>
        <w:spacing w:after="40"/>
      </w:pPr>
      <w:r>
        <w:rPr>
          <w:b/>
        </w:rPr>
        <w:t>Credibility attack</w:t>
      </w:r>
      <w:r>
        <w:t xml:space="preserve"> — Tyler cannot claim good faith with a prior 13-count lawsuit in the same industry</w:t>
      </w:r>
    </w:p>
    <w:p>
      <w:pPr>
        <w:pStyle w:val="Heading3"/>
      </w:pPr>
      <w:r>
        <w:t>Questions for Sarit</w:t>
      </w:r>
    </w:p>
    <w:p>
      <w:pPr>
        <w:pStyle w:val="ListBullet"/>
        <w:spacing w:after="40"/>
      </w:pPr>
      <w:r>
        <w:t>Is this admissible as similar fact evidence under Alberta Evidence Act?</w:t>
      </w:r>
    </w:p>
    <w:p>
      <w:pPr>
        <w:pStyle w:val="ListBullet"/>
        <w:spacing w:after="40"/>
      </w:pPr>
      <w:r>
        <w:t>What is the legal standard for admitting prior litigation as pattern-of-conduct evidence?</w:t>
      </w:r>
    </w:p>
    <w:p>
      <w:pPr>
        <w:pStyle w:val="ListBullet"/>
        <w:spacing w:after="40"/>
      </w:pPr>
      <w:r>
        <w:t>Should we reference it in correspondence now (Dayo already has) or hold for formal proceedings?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 LIMITATION PERIOD — URGENT AUDIT</w:t>
      </w:r>
    </w:p>
    <w:p>
      <w:pPr>
        <w:pStyle w:val="Heading3"/>
      </w:pPr>
      <w:r>
        <w:t>The Question</w:t>
      </w:r>
    </w:p>
    <w:p>
      <w:pPr>
        <w:spacing w:after="80"/>
      </w:pPr>
      <w:r>
        <w:t>When did Alberta's 2-year limitation period start, and do we need to file a protective Statement of Claim immediately?</w:t>
      </w:r>
    </w:p>
    <w:p>
      <w:pPr>
        <w:pStyle w:val="Heading3"/>
      </w:pPr>
      <w:r>
        <w:t>Key 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Possible Clock Start?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MNDA signed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Jan 10, 2025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No — not yet breached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JV Agreement signed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Feb 19, 2025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No — not yet breached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Tyler's "calculated tactic" termination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May 12, 2025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Possible — first overt duress act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SDA signed under duress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May 16, 2025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Possible — agreement procured by duress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Axxela circumvention begins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Jun 18, 2025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Possible — first circumvention email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Axxela circumvention discovered by Makir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Jul 7, 2025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Probable — Franklin's email reveals exclusion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Marley's false email to Axxela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Jul 4, 2025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Possible — misrepresentation date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TON terminates agreement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Feb 12, 2026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Possible — contract termination date</w:t>
            </w:r>
          </w:p>
        </w:tc>
      </w:tr>
    </w:tbl>
    <w:p>
      <w:pPr>
        <w:spacing w:before="40"/>
      </w:pPr>
    </w:p>
    <w:p>
      <w:pPr>
        <w:pStyle w:val="Heading3"/>
      </w:pPr>
      <w:r>
        <w:t>Analysis</w:t>
      </w:r>
    </w:p>
    <w:p>
      <w:pPr>
        <w:pStyle w:val="ListBullet"/>
        <w:spacing w:after="40"/>
      </w:pPr>
      <w:r>
        <w:t xml:space="preserve">If clock started at </w:t>
      </w:r>
      <w:r>
        <w:rPr>
          <w:b/>
        </w:rPr>
        <w:t>circumvention discovery (Jul 7, 2025)</w:t>
      </w:r>
      <w:r>
        <w:t xml:space="preserve">: expires </w:t>
      </w:r>
      <w:r>
        <w:rPr>
          <w:b/>
        </w:rPr>
        <w:t>Jul 7, 2027</w:t>
      </w:r>
      <w:r>
        <w:t xml:space="preserve"> — 16 months remaining</w:t>
      </w:r>
    </w:p>
    <w:p>
      <w:pPr>
        <w:pStyle w:val="ListBullet"/>
        <w:spacing w:after="40"/>
      </w:pPr>
      <w:r>
        <w:t xml:space="preserve">If clock started at </w:t>
      </w:r>
      <w:r>
        <w:rPr>
          <w:b/>
        </w:rPr>
        <w:t>termination (Feb 12, 2026)</w:t>
      </w:r>
      <w:r>
        <w:t xml:space="preserve">: expires </w:t>
      </w:r>
      <w:r>
        <w:rPr>
          <w:b/>
        </w:rPr>
        <w:t>Feb 12, 2028</w:t>
      </w:r>
      <w:r>
        <w:t xml:space="preserve"> — ~24 months remaining</w:t>
      </w:r>
    </w:p>
    <w:p>
      <w:pPr>
        <w:pStyle w:val="ListBullet"/>
        <w:spacing w:after="40"/>
      </w:pPr>
      <w:r>
        <w:rPr>
          <w:b/>
        </w:rPr>
        <w:t>Worst case</w:t>
      </w:r>
      <w:r>
        <w:t xml:space="preserve">: May 2025 duress events — clock may expire </w:t>
      </w:r>
      <w:r>
        <w:rPr>
          <w:b/>
        </w:rPr>
        <w:t>May 2027</w:t>
      </w:r>
      <w:r>
        <w:t xml:space="preserve"> — 14 months remaining</w:t>
      </w:r>
    </w:p>
    <w:p>
      <w:pPr>
        <w:pStyle w:val="Heading3"/>
      </w:pPr>
      <w:r>
        <w:t>Question for Sarit</w:t>
      </w:r>
    </w:p>
    <w:p>
      <w:pPr>
        <w:pStyle w:val="ListBullet"/>
        <w:spacing w:after="40"/>
      </w:pPr>
      <w:r>
        <w:t xml:space="preserve">Under Alberta's </w:t>
      </w:r>
      <w:r>
        <w:rPr>
          <w:i/>
        </w:rPr>
        <w:t>Limitations Act</w:t>
      </w:r>
      <w:r>
        <w:t>, when does the clock start for each head of claim?</w:t>
      </w:r>
    </w:p>
    <w:p>
      <w:pPr>
        <w:pStyle w:val="ListBullet"/>
        <w:spacing w:after="40"/>
      </w:pPr>
      <w:r>
        <w:t>For continuing breaches (ongoing circumvention Jun-Jul 2025), does each act restart the clock?</w:t>
      </w:r>
    </w:p>
    <w:p>
      <w:pPr>
        <w:pStyle w:val="ListBullet"/>
        <w:spacing w:after="40"/>
      </w:pPr>
      <w:r>
        <w:t>Is the termination date (Feb 12, 2026) the relevant trigger for breach of contract claims?</w:t>
      </w:r>
    </w:p>
    <w:p>
      <w:pPr>
        <w:pStyle w:val="ListBullet"/>
        <w:spacing w:after="40"/>
      </w:pPr>
      <w:r>
        <w:rPr>
          <w:b/>
        </w:rPr>
        <w:t>Should we file a protective Statement of Claim NOW to preserve all limitation periods?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8. ARBITRATION CLAUSE — SCOPE AND STRATEGY</w:t>
      </w:r>
    </w:p>
    <w:p>
      <w:pPr>
        <w:pStyle w:val="Heading3"/>
      </w:pPr>
      <w:r>
        <w:t>Section 7 of the SDA (Dispute Resolution)</w:t>
      </w:r>
    </w:p>
    <w:p>
      <w:pPr>
        <w:spacing w:after="80"/>
      </w:pPr>
      <w:r>
        <w:t>The SDA contains a dispute resolution clause that provides:</w:t>
      </w:r>
    </w:p>
    <w:p>
      <w:pPr>
        <w:pStyle w:val="ListNumber"/>
        <w:spacing w:after="40"/>
      </w:pPr>
      <w:r>
        <w:t>Good faith negotiation (30 days)</w:t>
      </w:r>
    </w:p>
    <w:p>
      <w:pPr>
        <w:pStyle w:val="ListNumber"/>
        <w:spacing w:after="40"/>
      </w:pPr>
      <w:r>
        <w:t>Mediation (60 days)</w:t>
      </w:r>
    </w:p>
    <w:p>
      <w:pPr>
        <w:pStyle w:val="ListNumber"/>
        <w:spacing w:after="40"/>
      </w:pPr>
      <w:r>
        <w:t>"Legal proceedings" in accordance with the governing law clause (Alberta)</w:t>
      </w:r>
    </w:p>
    <w:p>
      <w:pPr>
        <w:spacing w:after="80"/>
      </w:pPr>
      <w:r>
        <w:rPr>
          <w:b/>
        </w:rPr>
        <w:t>Note</w:t>
      </w:r>
      <w:r>
        <w:t>: The clause says "legal proceedings," NOT "arbitration." This is significant — it may mean court litigation is the default, not arbitration.</w:t>
      </w:r>
    </w:p>
    <w:p>
      <w:pPr>
        <w:pStyle w:val="Heading3"/>
      </w:pPr>
      <w:r>
        <w:t>Questions for Sarit</w:t>
      </w:r>
    </w:p>
    <w:p>
      <w:pPr>
        <w:pStyle w:val="ListBullet"/>
        <w:spacing w:after="40"/>
      </w:pPr>
      <w:r>
        <w:t>Does the SDA dispute resolution clause require arbitration, or does it permit court proceedings?</w:t>
      </w:r>
    </w:p>
    <w:p>
      <w:pPr>
        <w:pStyle w:val="ListBullet"/>
        <w:spacing w:after="40"/>
      </w:pPr>
      <w:r>
        <w:t xml:space="preserve">Can fiduciary duty, tort, and </w:t>
      </w:r>
      <w:r>
        <w:rPr>
          <w:i/>
        </w:rPr>
        <w:t>Bhasin</w:t>
      </w:r>
      <w:r>
        <w:t xml:space="preserve"> claims be pursued independently of the SDA dispute mechanism?</w:t>
      </w:r>
    </w:p>
    <w:p>
      <w:pPr>
        <w:pStyle w:val="ListBullet"/>
        <w:spacing w:after="40"/>
      </w:pPr>
      <w:r>
        <w:t>Does the MNDA have its own dispute resolution clause, and if so, does it differ from the SDA?</w:t>
      </w:r>
    </w:p>
    <w:p>
      <w:pPr>
        <w:pStyle w:val="ListBullet"/>
        <w:spacing w:after="40"/>
      </w:pPr>
      <w:r>
        <w:t>If we file in Alberta Court of King's Bench, can TON compel arbitration?</w:t>
      </w:r>
    </w:p>
    <w:p>
      <w:pPr>
        <w:pStyle w:val="ListBullet"/>
        <w:spacing w:after="40"/>
      </w:pPr>
      <w:r>
        <w:rPr>
          <w:b/>
        </w:rPr>
        <w:t>Strategic preference</w:t>
      </w:r>
      <w:r>
        <w:t>: Court litigation gives us discovery rights, public record, and precedent. Arbitration gives speed and confidentiality. What does Sarit recommend?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9. PROTECTIVE FILING STRATEGY</w:t>
      </w:r>
    </w:p>
    <w:p>
      <w:pPr>
        <w:pStyle w:val="Heading3"/>
      </w:pPr>
      <w:r>
        <w:t>The Case for Filing Now</w:t>
      </w:r>
    </w:p>
    <w:p>
      <w:pPr>
        <w:pStyle w:val="ListBullet"/>
        <w:spacing w:after="40"/>
      </w:pPr>
      <w:r>
        <w:t>TON has named Alberta counsel (McLennan Ross) — they are preparing to litigate</w:t>
      </w:r>
    </w:p>
    <w:p>
      <w:pPr>
        <w:pStyle w:val="ListBullet"/>
        <w:spacing w:after="40"/>
      </w:pPr>
      <w:r>
        <w:t>The $10,000 offer signals negotiation is effectively over</w:t>
      </w:r>
    </w:p>
    <w:p>
      <w:pPr>
        <w:pStyle w:val="ListBullet"/>
        <w:spacing w:after="40"/>
      </w:pPr>
      <w:r>
        <w:t>Dayo's rejection letter announced "proceedings commencing as early as next week"</w:t>
      </w:r>
    </w:p>
    <w:p>
      <w:pPr>
        <w:pStyle w:val="ListBullet"/>
        <w:spacing w:after="40"/>
      </w:pPr>
      <w:r>
        <w:t>Filing demonstrates credibility and locks in the limitation period</w:t>
      </w:r>
    </w:p>
    <w:p>
      <w:pPr>
        <w:pStyle w:val="ListBullet"/>
        <w:spacing w:after="40"/>
      </w:pPr>
      <w:r>
        <w:t>McCarthy Tetrault's involvement on the Statement of Claim dramatically elevates the threat</w:t>
      </w:r>
    </w:p>
    <w:p>
      <w:pPr>
        <w:pStyle w:val="Heading3"/>
      </w:pPr>
      <w:r>
        <w:t>The Case for Waiting</w:t>
      </w:r>
    </w:p>
    <w:p>
      <w:pPr>
        <w:pStyle w:val="ListBullet"/>
        <w:spacing w:after="40"/>
      </w:pPr>
      <w:r>
        <w:t>Gives TON one more chance to negotiate seriously</w:t>
      </w:r>
    </w:p>
    <w:p>
      <w:pPr>
        <w:pStyle w:val="ListBullet"/>
        <w:spacing w:after="40"/>
      </w:pPr>
      <w:r>
        <w:t>Filing costs and early-stage litigation management fees</w:t>
      </w:r>
    </w:p>
    <w:p>
      <w:pPr>
        <w:pStyle w:val="ListBullet"/>
        <w:spacing w:after="40"/>
      </w:pPr>
      <w:r>
        <w:t>May want to complete Nigerian proceedings first for strategic sequencing</w:t>
      </w:r>
    </w:p>
    <w:p>
      <w:pPr>
        <w:pStyle w:val="Heading3"/>
      </w:pPr>
      <w:r>
        <w:t>Question for Sarit</w:t>
      </w:r>
    </w:p>
    <w:p>
      <w:pPr>
        <w:pStyle w:val="ListBullet"/>
        <w:spacing w:after="40"/>
      </w:pPr>
      <w:r>
        <w:t>What is the cost and timeline to file a Statement of Claim in Alberta Court of King's Bench?</w:t>
      </w:r>
    </w:p>
    <w:p>
      <w:pPr>
        <w:pStyle w:val="ListBullet"/>
        <w:spacing w:after="40"/>
      </w:pPr>
      <w:r>
        <w:t>Can we file a "protective" claim and then stay proceedings if negotiations resume?</w:t>
      </w:r>
    </w:p>
    <w:p>
      <w:pPr>
        <w:pStyle w:val="ListBullet"/>
        <w:spacing w:after="40"/>
      </w:pPr>
      <w:r>
        <w:t>Should we file against Tyler MacPherson personally in addition to TON Infrastructure Ltd.?</w:t>
      </w:r>
    </w:p>
    <w:p>
      <w:pPr>
        <w:pStyle w:val="ListBullet"/>
        <w:spacing w:after="40"/>
      </w:pPr>
      <w:r>
        <w:t>Is there value in filing a Mareva (asset-freezing) injunction if we believe TON may dissipate assets?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10. FEE STRUCTURE</w:t>
      </w:r>
    </w:p>
    <w:p>
      <w:pPr>
        <w:pStyle w:val="Heading3"/>
      </w:pPr>
      <w:r>
        <w:t>Current Understanding</w:t>
      </w:r>
    </w:p>
    <w:p>
      <w:pPr>
        <w:pStyle w:val="ListBullet"/>
        <w:spacing w:after="40"/>
      </w:pPr>
      <w:r>
        <w:t>Dayo Adu (Moroom Africa) handles Nigerian jurisdiction at his own cost</w:t>
      </w:r>
    </w:p>
    <w:p>
      <w:pPr>
        <w:pStyle w:val="ListBullet"/>
        <w:spacing w:after="40"/>
      </w:pPr>
      <w:r>
        <w:t>McCarthy Tetrault was introduced by Dayo for the Alberta front</w:t>
      </w:r>
    </w:p>
    <w:p>
      <w:pPr>
        <w:pStyle w:val="ListBullet"/>
        <w:spacing w:after="40"/>
      </w:pPr>
      <w:r>
        <w:rPr>
          <w:b/>
        </w:rPr>
        <w:t>Outstanding question</w:t>
      </w:r>
      <w:r>
        <w:t>: Who bears McCarthy Tetrault's fees? Dayo's arrangement, or does NRG Bloom pay directly?</w:t>
      </w:r>
    </w:p>
    <w:p>
      <w:pPr>
        <w:pStyle w:val="Heading3"/>
      </w:pPr>
      <w:r>
        <w:t>Questions for Sarit</w:t>
      </w:r>
    </w:p>
    <w:p>
      <w:pPr>
        <w:pStyle w:val="ListBullet"/>
        <w:spacing w:after="40"/>
      </w:pPr>
      <w:r>
        <w:t>What is McCarthy's fee structure for this type of matter? (hourly, blended, contingency, hybrid?)</w:t>
      </w:r>
    </w:p>
    <w:p>
      <w:pPr>
        <w:pStyle w:val="ListBullet"/>
        <w:spacing w:after="40"/>
      </w:pPr>
      <w:r>
        <w:t>Is there appetite for a partial contingency arrangement given the strength of the evidence?</w:t>
      </w:r>
    </w:p>
    <w:p>
      <w:pPr>
        <w:pStyle w:val="ListBullet"/>
        <w:spacing w:after="40"/>
      </w:pPr>
      <w:r>
        <w:t>What are estimated costs through:</w:t>
      </w:r>
    </w:p>
    <w:p>
      <w:pPr>
        <w:pStyle w:val="ListBullet"/>
        <w:spacing w:after="40"/>
      </w:pPr>
      <w:r>
        <w:t>Statement of Claim filing</w:t>
      </w:r>
    </w:p>
    <w:p>
      <w:pPr>
        <w:pStyle w:val="ListBullet"/>
        <w:spacing w:after="40"/>
      </w:pPr>
      <w:r>
        <w:t>Discovery</w:t>
      </w:r>
    </w:p>
    <w:p>
      <w:pPr>
        <w:pStyle w:val="ListBullet"/>
        <w:spacing w:after="40"/>
      </w:pPr>
      <w:r>
        <w:t>Trial/arbitration</w:t>
      </w:r>
    </w:p>
    <w:p>
      <w:pPr>
        <w:pStyle w:val="ListBullet"/>
        <w:spacing w:after="40"/>
      </w:pPr>
      <w:r>
        <w:t>Is there a mechanism for costs recovery if successful?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11. TON'S COUNSEL — GARY ZIMMERMANN, McLENNAN ROSS</w:t>
      </w:r>
    </w:p>
    <w:p>
      <w:pPr>
        <w:pStyle w:val="Heading3"/>
      </w:pPr>
      <w:r>
        <w:t>Question for Sarit</w:t>
      </w:r>
    </w:p>
    <w:p>
      <w:pPr>
        <w:pStyle w:val="ListBullet"/>
        <w:spacing w:after="40"/>
      </w:pPr>
      <w:r>
        <w:t>Is Sarit familiar with Gary Zimmermann at McLennan Ross?</w:t>
      </w:r>
    </w:p>
    <w:p>
      <w:pPr>
        <w:pStyle w:val="ListBullet"/>
        <w:spacing w:after="40"/>
      </w:pPr>
      <w:r>
        <w:t>What is McLennan Ross's reputation and capability in commercial litigation?</w:t>
      </w:r>
    </w:p>
    <w:p>
      <w:pPr>
        <w:pStyle w:val="ListBullet"/>
        <w:spacing w:after="40"/>
      </w:pPr>
      <w:r>
        <w:t>Does naming counsel before proceedings are filed suggest TON is bluffing or genuinely preparing?</w:t>
      </w:r>
    </w:p>
    <w:p>
      <w:pPr>
        <w:pStyle w:val="ListBullet"/>
        <w:spacing w:after="40"/>
      </w:pPr>
      <w:r>
        <w:t>Any strategic implications of knowing their counsel at this stage?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12. KEY EVIDENCE SUMMARY (FOR SARIT'S REFERENCE)</w:t>
      </w:r>
    </w:p>
    <w:p>
      <w:pPr>
        <w:pStyle w:val="Heading3"/>
      </w:pPr>
      <w:r>
        <w:t>Tier 1 — Deployed (in our position paper)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482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Proves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Axxela origination email (Feb 4, 2025)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NRG Bloom originated the relationship — TON had zero involvement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58 NRG Bloom-Axxela emails (Feb-Apr 2025)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3 months of sole engagement before TON was introduced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Axxela meeting minutes (Feb 25, 2025)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Axxela described TON as "investors from Canada"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15-email exclusion window (Jun 18-Jul 2)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Systematic circumvention documented email by email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Marley's false July 4 email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"NRG Bloom is fully aware" — provably false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JV Agreement Section 5 exclusivity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"All projects in Nigeria exclusively with NRG BLOOM"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Expenditure ledger (N68.4M / ~$47,127)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Direct losses, contemporaneous sources</w:t>
            </w:r>
          </w:p>
        </w:tc>
      </w:tr>
      <w:tr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McCarthy engagement correspondence</w:t>
            </w:r>
          </w:p>
        </w:tc>
        <w:tc>
          <w:tcPr>
            <w:tcW w:type="dxa" w:w="4824"/>
            <w:shd w:fill="F8F9FA"/>
          </w:tcPr>
          <w:p>
            <w:r/>
            <w:r>
              <w:rPr>
                <w:rFonts w:ascii="Arial" w:hAnsi="Arial"/>
                <w:sz w:val="18"/>
              </w:rPr>
              <w:t>Credible litigation threat (annexed as exhibit)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Progressive devaluation table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sz w:val="18"/>
              </w:rPr>
              <w:t>$9,000/month to $0 over 13 months</w:t>
            </w:r>
          </w:p>
        </w:tc>
      </w:tr>
    </w:tbl>
    <w:p>
      <w:pPr>
        <w:spacing w:before="40"/>
      </w:pPr>
    </w:p>
    <w:p>
      <w:pPr>
        <w:pStyle w:val="Heading3"/>
      </w:pPr>
      <w:r>
        <w:t>Tier 2 — Held Back (available for next round / arbitration)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Proves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Deploy When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David Billay WhatsApp (Jun 11)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Tyler talked to Franklin "almost daily" — premeditated circumvention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Arbitration / formal proceedings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Franklin Umole WhatsApp (Jun 28)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"I thought the teams are working together" — Axxela didn't know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Impeachment of TON's good faith claim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Nana Umebese WhatsApp (Jun 28)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"from your end" — Axxela viewed NRG Bloom as owner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Impeachment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Call transcript — Jul 4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Marley admits Makir originated Axxela relationship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Critical — if TON denies origination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Call transcript — Feb 12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Jeff: "We're clearing the house and bringing our guys in"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Proves termination was a takeover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Phoenix Trading (full)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Tyler's 2022 prior lawsuit, 13 causes of action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Pattern of conduct, punitive damages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David Billay's financial model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$264,668/month profit with NRG Bloom included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Quantum support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67/33 revenue split (Sep 2025)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Partnership far beyond SDA's 8% terms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Proves real relationship dynamics</w:t>
            </w:r>
          </w:p>
        </w:tc>
      </w:tr>
    </w:tbl>
    <w:p>
      <w:pPr>
        <w:spacing w:before="4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13. GENUINE RISKS TO ACKNOWLEDGE</w:t>
      </w:r>
    </w:p>
    <w:p>
      <w:pPr>
        <w:spacing w:after="80"/>
      </w:pPr>
      <w:r>
        <w:t>Sarit should know the risks so she can give informed advice:</w:t>
      </w:r>
    </w:p>
    <w:p>
      <w:pPr>
        <w:pStyle w:val="ListNumber"/>
        <w:spacing w:after="40"/>
      </w:pPr>
      <w:r>
        <w:rPr>
          <w:b/>
        </w:rPr>
        <w:t>"Entire agreement" clause risk</w:t>
      </w:r>
      <w:r>
        <w:t xml:space="preserve"> — If the May 16 SDA supersedes the JV Agreement, the exclusivity clause and 90-day notice are contextual evidence only, not independent claims</w:t>
      </w:r>
    </w:p>
    <w:p>
      <w:pPr>
        <w:pStyle w:val="ListNumber"/>
        <w:spacing w:after="40"/>
      </w:pPr>
      <w:r>
        <w:rPr>
          <w:b/>
        </w:rPr>
        <w:t>Affirmation of duress</w:t>
      </w:r>
      <w:r>
        <w:t xml:space="preserve"> — 13 months of performance is a real vulnerability, though mitigated by continuous duress and documented objections</w:t>
      </w:r>
    </w:p>
    <w:p>
      <w:pPr>
        <w:pStyle w:val="ListNumber"/>
        <w:spacing w:after="40"/>
      </w:pPr>
      <w:r>
        <w:rPr>
          <w:b/>
        </w:rPr>
        <w:t>"Calculated tactic" is oral testimony</w:t>
      </w:r>
      <w:r>
        <w:t xml:space="preserve"> — Two witnesses (Makir + Julie) but no recording or written admission; compare to Axxela evidence which is entirely documentary</w:t>
      </w:r>
    </w:p>
    <w:p>
      <w:pPr>
        <w:pStyle w:val="ListNumber"/>
        <w:spacing w:after="40"/>
      </w:pPr>
      <w:r>
        <w:rPr>
          <w:b/>
        </w:rPr>
        <w:t>Damages gap</w:t>
      </w:r>
      <w:r>
        <w:t xml:space="preserve"> — Provable contract damages at 8% + $875/month are modest (~$58K over 13 months). The $600K+ claim depends heavily on the Axxela circumvention and lost opportunity arguments</w:t>
      </w:r>
    </w:p>
    <w:p>
      <w:pPr>
        <w:pStyle w:val="ListNumber"/>
        <w:spacing w:after="40"/>
      </w:pPr>
      <w:r>
        <w:rPr>
          <w:b/>
        </w:rPr>
        <w:t>Collection risk</w:t>
      </w:r>
      <w:r>
        <w:t xml:space="preserve"> — TON is Canadian but may be thinly capitalized. May need to consider personal liability against Tyler</w:t>
      </w:r>
    </w:p>
    <w:p>
      <w:pPr>
        <w:pStyle w:val="ListNumber"/>
        <w:spacing w:after="40"/>
      </w:pPr>
      <w:r>
        <w:rPr>
          <w:b/>
        </w:rPr>
        <w:t>Electrical safety defense</w:t>
      </w:r>
      <w:r>
        <w:t xml:space="preserve"> — Jeff's December 2025 analysis identified real technical problems. Mitigated by suspicious 10-month delay and TON's refusal to fund fixes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14. PRIORITY QUESTIONS FOR THE CALL (RANKED)</w:t>
      </w:r>
    </w:p>
    <w:p>
      <w:pPr>
        <w:pStyle w:val="Heading3"/>
      </w:pPr>
      <w:r>
        <w:t>Must-Answer (drive immediate decisions)</w:t>
      </w:r>
    </w:p>
    <w:p>
      <w:pPr>
        <w:pStyle w:val="ListNumber"/>
        <w:spacing w:after="40"/>
      </w:pPr>
      <w:r>
        <w:rPr>
          <w:b/>
        </w:rPr>
        <w:t>Limitation period</w:t>
      </w:r>
      <w:r>
        <w:t>: When did the 2-year clock start for each claim? Do we need a protective filing?</w:t>
      </w:r>
    </w:p>
    <w:p>
      <w:pPr>
        <w:pStyle w:val="ListNumber"/>
        <w:spacing w:after="40"/>
      </w:pPr>
      <w:r>
        <w:rPr>
          <w:b/>
        </w:rPr>
        <w:t>Dispute resolution clause</w:t>
      </w:r>
      <w:r>
        <w:t>: Does the SDA require arbitration or permit court proceedings?</w:t>
      </w:r>
    </w:p>
    <w:p>
      <w:pPr>
        <w:pStyle w:val="ListNumber"/>
        <w:spacing w:after="40"/>
      </w:pPr>
      <w:r>
        <w:rPr>
          <w:b/>
        </w:rPr>
        <w:t>Fee structure</w:t>
      </w:r>
      <w:r>
        <w:t>: What does McCarthy's engagement look like? Who pays?</w:t>
      </w:r>
    </w:p>
    <w:p>
      <w:pPr>
        <w:pStyle w:val="ListNumber"/>
        <w:spacing w:after="40"/>
      </w:pPr>
      <w:r>
        <w:rPr>
          <w:b/>
        </w:rPr>
        <w:t>Protective filing</w:t>
      </w:r>
      <w:r>
        <w:t>: Should we file a Statement of Claim in Alberta immediately?</w:t>
      </w:r>
    </w:p>
    <w:p>
      <w:pPr>
        <w:pStyle w:val="Heading3"/>
      </w:pPr>
      <w:r>
        <w:t>Should-Answer (shape the strategy)</w:t>
      </w:r>
    </w:p>
    <w:p>
      <w:pPr>
        <w:pStyle w:val="ListNumber"/>
        <w:spacing w:after="40"/>
      </w:pPr>
      <w:r>
        <w:rPr>
          <w:b/>
        </w:rPr>
        <w:t>Section 5 (discontinuation)</w:t>
      </w:r>
      <w:r>
        <w:t>: Is it enforceable given mid-phase termination and duress context?</w:t>
      </w:r>
    </w:p>
    <w:p>
      <w:pPr>
        <w:pStyle w:val="ListNumber"/>
        <w:spacing w:after="40"/>
      </w:pPr>
      <w:r>
        <w:rPr>
          <w:b/>
        </w:rPr>
        <w:t>Phoenix Trading admissibility</w:t>
      </w:r>
      <w:r>
        <w:t>: Can we use Tyler's 2022 lawsuit as similar fact evidence?</w:t>
      </w:r>
    </w:p>
    <w:p>
      <w:pPr>
        <w:pStyle w:val="ListNumber"/>
        <w:spacing w:after="40"/>
      </w:pPr>
      <w:r>
        <w:rPr>
          <w:b/>
        </w:rPr>
        <w:t>Personal liability</w:t>
      </w:r>
      <w:r>
        <w:t>: Can we name Tyler MacPherson individually?</w:t>
      </w:r>
    </w:p>
    <w:p>
      <w:pPr>
        <w:pStyle w:val="ListNumber"/>
        <w:spacing w:after="40"/>
      </w:pPr>
      <w:r>
        <w:rPr>
          <w:b/>
        </w:rPr>
        <w:t>McLennan Ross assessment</w:t>
      </w:r>
      <w:r>
        <w:t>: What does Sarit think of TON's counsel choice?</w:t>
      </w:r>
    </w:p>
    <w:p>
      <w:pPr>
        <w:pStyle w:val="Heading3"/>
      </w:pPr>
      <w:r>
        <w:t>Good-to-Answer (if time permits)</w:t>
      </w:r>
    </w:p>
    <w:p>
      <w:pPr>
        <w:pStyle w:val="ListNumber"/>
        <w:spacing w:after="40"/>
      </w:pPr>
      <w:r>
        <w:rPr>
          <w:b/>
        </w:rPr>
        <w:t>Axxela injunction</w:t>
      </w:r>
      <w:r>
        <w:t>: Can we threaten or obtain an injunction against TON's Axxela activities?</w:t>
      </w:r>
    </w:p>
    <w:p>
      <w:pPr>
        <w:pStyle w:val="ListNumber"/>
        <w:spacing w:after="40"/>
      </w:pPr>
      <w:r>
        <w:rPr>
          <w:b/>
        </w:rPr>
        <w:t>Multi-jurisdictional coordination</w:t>
      </w:r>
      <w:r>
        <w:t>: How do we coordinate Alberta proceedings with Dayo's Nigerian strategy?</w:t>
      </w:r>
    </w:p>
    <w:p>
      <w:pPr>
        <w:pStyle w:val="ListNumber"/>
        <w:spacing w:after="40"/>
      </w:pPr>
      <w:r>
        <w:rPr>
          <w:b/>
        </w:rPr>
        <w:t>Punitive damages threshold</w:t>
      </w:r>
      <w:r>
        <w:t>: With Phoenix Trading pattern, what multiplier is realistic?</w:t>
      </w:r>
    </w:p>
    <w:p>
      <w:pPr>
        <w:pStyle w:val="ListNumber"/>
        <w:spacing w:after="40"/>
      </w:pPr>
      <w:r>
        <w:rPr>
          <w:b/>
        </w:rPr>
        <w:t>Discovery scope</w:t>
      </w:r>
      <w:r>
        <w:t>: What documents can we compel from TON in Alberta proceedings?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15. DOCUMENTS READY TO SHARE WITH SARIT</w:t>
      </w:r>
    </w:p>
    <w:p>
      <w:pPr>
        <w:spacing w:after="80"/>
      </w:pPr>
      <w:r>
        <w:t>The following can be sent to Sarit before or after the call at her request:</w:t>
      </w:r>
    </w:p>
    <w:p>
      <w:pPr>
        <w:pStyle w:val="ListNumber"/>
        <w:spacing w:after="40"/>
      </w:pPr>
      <w:r>
        <w:rPr>
          <w:b/>
        </w:rPr>
        <w:t>TON Position Summary</w:t>
      </w:r>
      <w:r>
        <w:t xml:space="preserve"> (44 pages, received Mar 5) — </w:t>
      </w:r>
      <w:r>
        <w:rPr>
          <w:rFonts w:ascii="Courier New" w:hAnsi="Courier New"/>
          <w:color w:val="444444"/>
          <w:sz w:val="17"/>
        </w:rPr>
        <w:t>TON-Position-Summary-2026-03-05.pdf</w:t>
      </w:r>
    </w:p>
    <w:p>
      <w:pPr>
        <w:pStyle w:val="ListNumber"/>
        <w:spacing w:after="40"/>
      </w:pPr>
      <w:r>
        <w:rPr>
          <w:b/>
        </w:rPr>
        <w:t>Counter-Analysis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ton-position-summary-counter-analysis-2026-03-05.md</w:t>
      </w:r>
    </w:p>
    <w:p>
      <w:pPr>
        <w:pStyle w:val="ListNumber"/>
        <w:spacing w:after="40"/>
      </w:pPr>
      <w:r>
        <w:rPr>
          <w:b/>
        </w:rPr>
        <w:t>Alberta Litigation Path Analysis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alberta-litigation-path-analysis-2026-03-01.md</w:t>
      </w:r>
    </w:p>
    <w:p>
      <w:pPr>
        <w:pStyle w:val="ListNumber"/>
        <w:spacing w:after="40"/>
      </w:pPr>
      <w:r>
        <w:rPr>
          <w:b/>
        </w:rPr>
        <w:t>Axxela Circumvention Damages Analysis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axxela-circumvention-damages-analysis-2026-03-01.md</w:t>
      </w:r>
    </w:p>
    <w:p>
      <w:pPr>
        <w:pStyle w:val="ListNumber"/>
        <w:spacing w:after="40"/>
      </w:pPr>
      <w:r>
        <w:rPr>
          <w:b/>
        </w:rPr>
        <w:t>Phoenix Trading Analysis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phoenix-trading-fzco-v-dennis-corp-analysis-2026-03-02.md</w:t>
      </w:r>
    </w:p>
    <w:p>
      <w:pPr>
        <w:pStyle w:val="ListNumber"/>
        <w:spacing w:after="40"/>
      </w:pPr>
      <w:r>
        <w:rPr>
          <w:b/>
        </w:rPr>
        <w:t>Expenditure Ledger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nrg-bloom-expenditure-ledger-2026-03-01.md</w:t>
      </w:r>
    </w:p>
    <w:p>
      <w:pPr>
        <w:pStyle w:val="ListNumber"/>
        <w:spacing w:after="40"/>
      </w:pPr>
      <w:r>
        <w:rPr>
          <w:b/>
        </w:rPr>
        <w:t>Master Evidence Summary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master-evidence-summary-2026-02-25.md</w:t>
      </w:r>
    </w:p>
    <w:p>
      <w:pPr>
        <w:pStyle w:val="ListNumber"/>
        <w:spacing w:after="40"/>
      </w:pPr>
      <w:r>
        <w:rPr>
          <w:b/>
        </w:rPr>
        <w:t>Risk Assessment</w:t>
      </w:r>
      <w:r>
        <w:t xml:space="preserve"> — </w:t>
      </w:r>
      <w:r>
        <w:rPr>
          <w:rFonts w:ascii="Courier New" w:hAnsi="Courier New"/>
          <w:color w:val="444444"/>
          <w:sz w:val="17"/>
        </w:rPr>
        <w:t>risk-assessment.md</w:t>
      </w:r>
    </w:p>
    <w:p>
      <w:pPr>
        <w:pStyle w:val="ListNumber"/>
        <w:spacing w:after="40"/>
      </w:pPr>
      <w:r>
        <w:rPr>
          <w:b/>
        </w:rPr>
        <w:t>NRG Bloom Position Summary</w:t>
      </w:r>
      <w:r>
        <w:t xml:space="preserve"> (as filed March 3) — position paper document</w:t>
      </w:r>
    </w:p>
    <w:p>
      <w:pPr>
        <w:pStyle w:val="ListNumber"/>
        <w:spacing w:after="40"/>
      </w:pPr>
      <w:r>
        <w:rPr>
          <w:b/>
        </w:rPr>
        <w:t>Dayo's Rejection Letter</w:t>
      </w:r>
      <w:r>
        <w:t xml:space="preserve"> (Mar 5) — email to TON rejecting $10K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16. RECOMMENDED CALL FLOW (60 MINUTES)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216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0-5 min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Introductions, engagement terms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5-15 min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Case summary + overnight TON development ($10K offer)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Makir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15-25 min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Legal theories assessment — which are strongest?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25-35 min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Limitation period + protective filing decision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35-40 min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Phoenix Trading — admissibility and deployment strategy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40-45 min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TON's defenses — Section 5, affirmation, jurisdiction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45-50 min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Fee structure and engagement terms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Sarit</w:t>
            </w:r>
          </w:p>
        </w:tc>
      </w:tr>
      <w:tr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50-55 min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Multi-jurisdictional coordination with Dayo</w:t>
            </w:r>
          </w:p>
        </w:tc>
        <w:tc>
          <w:tcPr>
            <w:tcW w:type="dxa" w:w="3216"/>
            <w:shd w:fill="F8F9FA"/>
          </w:tcPr>
          <w:p>
            <w:r/>
            <w:r>
              <w:rPr>
                <w:rFonts w:ascii="Arial" w:hAnsi="Arial"/>
                <w:sz w:val="18"/>
              </w:rPr>
              <w:t>All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55-60 min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Next steps and timeline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sz w:val="18"/>
              </w:rPr>
              <w:t>All</w:t>
            </w:r>
          </w:p>
        </w:tc>
      </w:tr>
    </w:tbl>
    <w:p>
      <w:pPr>
        <w:spacing w:before="40"/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17. ACTION ITEMS (PRE-CALL)</w:t>
      </w:r>
    </w:p>
    <w:p>
      <w:pPr>
        <w:spacing w:after="40"/>
      </w:pPr>
      <w:r>
        <w:t xml:space="preserve">☐  </w:t>
      </w:r>
      <w:r>
        <w:rPr>
          <w:b/>
        </w:rPr>
        <w:t>Confirm conflicts clearance</w:t>
      </w:r>
      <w:r>
        <w:t>: Did Dayo send "TON Infrastructure Ltd." to Sarit? (Task 22)</w:t>
      </w:r>
    </w:p>
    <w:p>
      <w:pPr>
        <w:spacing w:after="40"/>
      </w:pPr>
      <w:r>
        <w:t xml:space="preserve">☐  </w:t>
      </w:r>
      <w:r>
        <w:rPr>
          <w:b/>
        </w:rPr>
        <w:t>Confirm Teams link received</w:t>
      </w:r>
      <w:r>
        <w:t>: Sarit was to circulate after conflicts clear</w:t>
      </w:r>
    </w:p>
    <w:p>
      <w:pPr>
        <w:spacing w:after="40"/>
      </w:pPr>
      <w:r>
        <w:t xml:space="preserve">☐  </w:t>
      </w:r>
      <w:r>
        <w:rPr>
          <w:b/>
        </w:rPr>
        <w:t>Check SDA for "entire agreement" clause</w:t>
      </w:r>
      <w:r>
        <w:t>: Dayo or Makir — this is critical</w:t>
      </w:r>
    </w:p>
    <w:p>
      <w:pPr>
        <w:spacing w:after="40"/>
      </w:pPr>
      <w:r>
        <w:t xml:space="preserve">☐  </w:t>
      </w:r>
      <w:r>
        <w:rPr>
          <w:b/>
        </w:rPr>
        <w:t>Send Sarit the TON Position Summary PDF</w:t>
      </w:r>
      <w:r>
        <w:t>: She needs to see what we're dealing with</w:t>
      </w:r>
    </w:p>
    <w:p>
      <w:pPr>
        <w:spacing w:after="40"/>
      </w:pPr>
      <w:r>
        <w:t xml:space="preserve">☐  </w:t>
      </w:r>
      <w:r>
        <w:rPr>
          <w:b/>
        </w:rPr>
        <w:t>Prepare 2-minute case overview</w:t>
      </w:r>
      <w:r>
        <w:t>: Makir should rehearse the elevator pitch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80"/>
      </w:pPr>
      <w:r>
        <w:rPr>
          <w:i/>
        </w:rPr>
        <w:t>Prepared by NRG Bloom AI Chief of Staff — March 5, 2026</w:t>
      </w:r>
    </w:p>
    <w:p>
      <w:pPr>
        <w:spacing w:after="80"/>
      </w:pPr>
      <w:r>
        <w:rPr>
          <w:i/>
        </w:rPr>
        <w:t>Full counter-analysis: ton-position-summary-counter-analysis-2026-03-05.md</w:t>
      </w:r>
    </w:p>
    <w:p>
      <w:pPr>
        <w:spacing w:after="80"/>
      </w:pPr>
      <w:r>
        <w:rPr>
          <w:i/>
        </w:rPr>
        <w:t>Settlement tracker updated with Round 1 and Round 2 developments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