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OANDO CALL — CLOSING PLAYBOOK</w:t>
      </w:r>
    </w:p>
    <w:p>
      <w:pPr>
        <w:jc w:val="center"/>
      </w:pPr>
      <w:r>
        <w:rPr>
          <w:color w:val="505050"/>
          <w:sz w:val="22"/>
        </w:rPr>
        <w:t>March 6 | 4:00 AM ET | Teams</w:t>
      </w:r>
    </w:p>
    <w:p>
      <w:pPr>
        <w:jc w:val="center"/>
      </w:pPr>
      <w:r>
        <w:rPr>
          <w:color w:val="505050"/>
          <w:sz w:val="22"/>
        </w:rPr>
        <w:t>Meeting ID: 363 929 092 877 63 | Passcode: eS9ej2Ub</w:t>
      </w:r>
    </w:p>
    <w:p>
      <w:r>
        <w:rPr>
          <w:b/>
          <w:color w:val="003366"/>
          <w:sz w:val="28"/>
        </w:rPr>
        <w:t>THE 3 POINTS THAT CLOSE THIS DEAL</w:t>
      </w:r>
    </w:p>
    <w:p>
      <w:r>
        <w:rPr>
          <w:sz w:val="21"/>
        </w:rPr>
        <w:t>No matter what they ask, no matter where the conversation goes, land these three:</w:t>
      </w:r>
    </w:p>
    <w:p>
      <w:r>
        <w:rPr>
          <w:b/>
          <w:color w:val="B41E1E"/>
          <w:sz w:val="26"/>
        </w:rPr>
        <w:t>1. THIS GAS MAKES OANDO $0 TODAY — WE MAKE IT WORTH $730K-$1.1M/YEAR</w:t>
      </w:r>
    </w:p>
    <w:p>
      <w:pPr>
        <w:ind w:left="432" w:right="432"/>
      </w:pPr>
      <w:r>
        <w:rPr>
          <w:i/>
          <w:color w:val="003366"/>
          <w:sz w:val="21"/>
        </w:rPr>
        <w:t>Right now, the gas we’re talking about generates zero revenue for Oando. Worse — it costs you in PIA penalties and ESG exposure. Under our proposal, that same gas generates $730,000 to $1.1 million per year in USD-denominated revenue. That’s $3.6 to $5.7 million over five years — from gas that currently costs you money.</w:t>
      </w:r>
    </w:p>
    <w:p>
      <w:r>
        <w:rPr>
          <w:b/>
          <w:color w:val="646464"/>
          <w:sz w:val="19"/>
        </w:rPr>
        <w:t xml:space="preserve">WHY THIS WINS: </w:t>
      </w:r>
      <w:r>
        <w:rPr>
          <w:color w:val="646464"/>
          <w:sz w:val="19"/>
        </w:rPr>
        <w:t>Eleas (Gas Business) thinks in monetization. Ololade (ex-ExxonMobil) thinks in revenue mechanics. This is the number that makes them both lean forward.</w:t>
      </w:r>
    </w:p>
    <w:p>
      <w:r>
        <w:rPr>
          <w:b/>
          <w:color w:val="B41E1E"/>
          <w:sz w:val="26"/>
        </w:rPr>
        <w:t>2. OANDO RISKS NOTHING — ZERO CAPEX, ZERO LIABILITY, ZERO INFRASTRUCTURE</w:t>
      </w:r>
    </w:p>
    <w:p>
      <w:pPr>
        <w:ind w:left="432" w:right="432"/>
      </w:pPr>
      <w:r>
        <w:rPr>
          <w:i/>
          <w:color w:val="003366"/>
          <w:sz w:val="21"/>
        </w:rPr>
        <w:t>Under Pathways 1 and 3, Oando invests zero capital. We fund everything — $1.5 to $5.5 million in equipment. We build it. We operate it. We maintain it. Oando provides site access and gas. That’s it. No data center liability. No operational risk. No technology risk.</w:t>
      </w:r>
    </w:p>
    <w:p>
      <w:r>
        <w:rPr>
          <w:b/>
          <w:color w:val="646464"/>
          <w:sz w:val="19"/>
        </w:rPr>
        <w:t xml:space="preserve">WHY THIS WINS: </w:t>
      </w:r>
      <w:r>
        <w:rPr>
          <w:color w:val="646464"/>
          <w:sz w:val="19"/>
        </w:rPr>
        <w:t>Bayo (Compliance) needs to hear zero risk. Chioma needs a line she can take to Dr. Irune: ‘zero capex to Oando.’</w:t>
      </w:r>
    </w:p>
    <w:p>
      <w:r>
        <w:rPr>
          <w:b/>
          <w:color w:val="B41E1E"/>
          <w:sz w:val="26"/>
        </w:rPr>
        <w:t>3. WE’RE ALREADY THERE — 13 MONTHS ON YOUR INFRASTRUCTURE</w:t>
      </w:r>
    </w:p>
    <w:p>
      <w:pPr>
        <w:ind w:left="432" w:right="432"/>
      </w:pPr>
      <w:r>
        <w:rPr>
          <w:i/>
          <w:color w:val="003366"/>
          <w:sz w:val="21"/>
        </w:rPr>
        <w:t>We’ve been operating at Ogboinbiri since February 2025 — over 13 months, on Oando’s own infrastructure. This isn’t a concept. We know the site, the community dynamics, the security environment. The proof of concept is done. The question is how fast we formalize and scale.</w:t>
      </w:r>
    </w:p>
    <w:p>
      <w:r>
        <w:rPr>
          <w:b/>
          <w:color w:val="646464"/>
          <w:sz w:val="19"/>
        </w:rPr>
        <w:t xml:space="preserve">WHY THIS WINS: </w:t>
      </w:r>
      <w:r>
        <w:rPr>
          <w:color w:val="646464"/>
          <w:sz w:val="19"/>
        </w:rPr>
        <w:t>Every other company pitching Oando is a PowerPoint. You’re the only one already running on their assets.</w:t>
      </w:r>
    </w:p>
    <w:p>
      <w:r>
        <w:rPr>
          <w:b/>
          <w:color w:val="003366"/>
          <w:sz w:val="28"/>
        </w:rPr>
        <w:t>THE MONEY CASE</w:t>
      </w:r>
    </w:p>
    <w:p>
      <w:r>
        <w:rPr>
          <w:b/>
          <w:color w:val="000000"/>
          <w:sz w:val="24"/>
        </w:rPr>
        <w:t>TODAY — Oando’s flared/stranded gas:</w:t>
      </w:r>
    </w:p>
    <w:p>
      <w:r>
        <w:rPr>
          <w:sz w:val="21"/>
        </w:rPr>
        <w:t>Gas produced → Flared/vented → $0 revenue + PIA penalties + ESG damage + NGFCP non-compliance risk</w:t>
      </w:r>
    </w:p>
    <w:p>
      <w:r>
        <w:rPr>
          <w:b/>
          <w:color w:val="000000"/>
          <w:sz w:val="24"/>
        </w:rPr>
        <w:t>WITH NRG BLOOM — same gas, same site:</w:t>
      </w:r>
    </w:p>
    <w:p>
      <w:r>
        <w:rPr>
          <w:sz w:val="21"/>
        </w:rPr>
        <w:t>Gas produced → NRG Bloom data center → $730K-$1.1M/yr to Oando + Zero Flare compliance + ESG improvement + CarbonAi credits STILL apply + $0 capex from Oando</w:t>
      </w:r>
    </w:p>
    <w:p>
      <w:r>
        <w:rPr>
          <w:b/>
          <w:sz w:val="24"/>
        </w:rPr>
        <w:t xml:space="preserve">The pitch in one sentence: </w:t>
      </w:r>
      <w:r>
        <w:rPr>
          <w:b/>
          <w:i/>
          <w:color w:val="B41E1E"/>
          <w:sz w:val="24"/>
        </w:rPr>
        <w:t>“We turn your liability into your revenue stream.”</w:t>
      </w:r>
    </w:p>
    <w:p>
      <w:r>
        <w:rPr>
          <w:b/>
          <w:color w:val="003366"/>
          <w:sz w:val="28"/>
        </w:rPr>
        <w:t>HOW THE CALL SHOULD FLOW</w:t>
      </w:r>
    </w:p>
    <w:p>
      <w:r>
        <w:rPr>
          <w:b/>
          <w:color w:val="000000"/>
          <w:sz w:val="24"/>
        </w:rPr>
        <w:t>MINUTE 0-5: YOU OPEN (then STOP)</w:t>
      </w:r>
    </w:p>
    <w:p>
      <w:r>
        <w:rPr>
          <w:sz w:val="21"/>
        </w:rPr>
        <w:t>Say exactly this:</w:t>
      </w:r>
    </w:p>
    <w:p>
      <w:pPr>
        <w:ind w:left="432" w:right="432"/>
      </w:pPr>
      <w:r>
        <w:rPr>
          <w:i/>
          <w:color w:val="003366"/>
          <w:sz w:val="21"/>
        </w:rPr>
        <w:t>Thank you for making time, Eleas. We appreciate you organizing this. As you’ve seen in the proposal, we’ve been operational at Ogboinbiri since February 2025 — over a year on your infrastructure. We wrote three pathways because we don’t presume to know which fits Oando’s position. We’re here to answer your questions and understand which direction works. What stood out to your team?</w:t>
      </w:r>
    </w:p>
    <w:p>
      <w:r>
        <w:rPr>
          <w:b/>
          <w:color w:val="B41E1E"/>
          <w:sz w:val="21"/>
        </w:rPr>
        <w:t>Then shut up. Let them talk. Their first question tells you everything about what they care about.</w:t>
      </w:r>
    </w:p>
    <w:p>
      <w:r>
        <w:rPr>
          <w:b/>
          <w:color w:val="003366"/>
          <w:sz w:val="28"/>
        </w:rPr>
        <w:t>IF THEY GO TO GAS (Eleas will likely start here)</w:t>
      </w:r>
    </w:p>
    <w:p>
      <w:r>
        <w:rPr>
          <w:b/>
          <w:sz w:val="22"/>
        </w:rPr>
        <w:t>“What gas volumes do you need?”</w:t>
      </w:r>
    </w:p>
    <w:p>
      <w:pPr>
        <w:ind w:left="432" w:right="432"/>
      </w:pPr>
      <w:r>
        <w:rPr>
          <w:i/>
          <w:color w:val="003366"/>
          <w:sz w:val="21"/>
        </w:rPr>
        <w:t>Pilot: 0.5 mmscf/d. Commercial scale at 1-5 MW: 0.5 to 2 mmscf/d. We design modularly — we scale with what’s available, no locked-in minimum beyond pilot.</w:t>
      </w:r>
    </w:p>
    <w:p>
      <w:r>
        <w:rPr>
          <w:b/>
          <w:color w:val="B41E1E"/>
          <w:sz w:val="19"/>
        </w:rPr>
        <w:t xml:space="preserve">PIVOT: </w:t>
      </w:r>
      <w:r>
        <w:rPr>
          <w:color w:val="646464"/>
          <w:sz w:val="19"/>
        </w:rPr>
        <w:t>What’s important is that even at minimum volumes, this gas goes from generating zero to generating real USD revenue for Oando.</w:t>
      </w:r>
    </w:p>
    <w:p>
      <w:r>
        <w:rPr>
          <w:b/>
          <w:sz w:val="22"/>
        </w:rPr>
        <w:t>“What gas specs do you need?”</w:t>
      </w:r>
    </w:p>
    <w:p>
      <w:pPr>
        <w:ind w:left="432" w:right="432"/>
      </w:pPr>
      <w:r>
        <w:rPr>
          <w:i/>
          <w:color w:val="003366"/>
          <w:sz w:val="21"/>
        </w:rPr>
        <w:t>Hand to Julie — Section 4.1: composition, HHV ~1,000-1,050 BTU/scf, Wobbe Index ~1,300-1,400 BTU/scf.</w:t>
      </w:r>
    </w:p>
    <w:p>
      <w:r>
        <w:rPr>
          <w:b/>
          <w:color w:val="B41E1E"/>
          <w:sz w:val="19"/>
        </w:rPr>
        <w:t xml:space="preserve">PIVOT: </w:t>
      </w:r>
      <w:r>
        <w:rPr>
          <w:color w:val="646464"/>
          <w:sz w:val="19"/>
        </w:rPr>
        <w:t>To finalize equipment sizing and pricing, we need your gas chromatographic data. Can your team provide that? (Getting them to commit to providing data = they’re engaged)</w:t>
      </w:r>
    </w:p>
    <w:p>
      <w:r>
        <w:rPr>
          <w:b/>
          <w:sz w:val="22"/>
        </w:rPr>
        <w:t>“What about gas interruptions?”</w:t>
      </w:r>
    </w:p>
    <w:p>
      <w:pPr>
        <w:ind w:left="432" w:right="432"/>
      </w:pPr>
      <w:r>
        <w:rPr>
          <w:i/>
          <w:color w:val="003366"/>
          <w:sz w:val="21"/>
        </w:rPr>
        <w:t>We engineer for it. Battery buffer, graceful shutdown, relocatable equipment. Our base case assumes 50-70% utilization, not 100%.</w:t>
      </w:r>
    </w:p>
    <w:p>
      <w:r>
        <w:rPr>
          <w:b/>
          <w:color w:val="003366"/>
          <w:sz w:val="28"/>
        </w:rPr>
        <w:t>IF THEY GO TO MONEY (Ololade or Chioma)</w:t>
      </w:r>
    </w:p>
    <w:p>
      <w:r>
        <w:rPr>
          <w:b/>
          <w:sz w:val="22"/>
        </w:rPr>
        <w:t>“Walk us through the revenue”</w:t>
      </w:r>
    </w:p>
    <w:p>
      <w:r>
        <w:rPr>
          <w:sz w:val="21"/>
        </w:rPr>
        <w:t>Hand to Julie for specifics, then you anchor:</w:t>
      </w:r>
    </w:p>
    <w:tbl>
      <w:tblPr>
        <w:tblW w:type="auto" w:w="0"/>
        <w:jc w:val="center"/>
        <w:tblLook w:firstColumn="1" w:firstRow="1" w:lastColumn="0" w:lastRow="0" w:noHBand="0" w:noVBand="1" w:val="04A0"/>
      </w:tblPr>
      <w:tblGrid>
        <w:gridCol w:w="2556"/>
        <w:gridCol w:w="2556"/>
        <w:gridCol w:w="2556"/>
        <w:gridCol w:w="2556"/>
      </w:tblGrid>
      <w:tr>
        <w:tc>
          <w:tcPr>
            <w:tcW w:type="dxa" w:w="2556"/>
          </w:tcPr>
          <w:p>
            <w:r/>
            <w:r>
              <w:rPr>
                <w:b/>
                <w:sz w:val="19"/>
              </w:rPr>
            </w:r>
          </w:p>
        </w:tc>
        <w:tc>
          <w:tcPr>
            <w:tcW w:type="dxa" w:w="2556"/>
          </w:tcPr>
          <w:p>
            <w:r/>
            <w:r>
              <w:rPr>
                <w:b/>
                <w:sz w:val="19"/>
              </w:rPr>
              <w:t>Pathway 1 (PPA)</w:t>
            </w:r>
          </w:p>
        </w:tc>
        <w:tc>
          <w:tcPr>
            <w:tcW w:type="dxa" w:w="2556"/>
          </w:tcPr>
          <w:p>
            <w:r/>
            <w:r>
              <w:rPr>
                <w:b/>
                <w:sz w:val="19"/>
              </w:rPr>
              <w:t>Pathway 2 (Joint)</w:t>
            </w:r>
          </w:p>
        </w:tc>
        <w:tc>
          <w:tcPr>
            <w:tcW w:type="dxa" w:w="2556"/>
          </w:tcPr>
          <w:p>
            <w:r/>
            <w:r>
              <w:rPr>
                <w:b/>
                <w:sz w:val="19"/>
              </w:rPr>
              <w:t>Pathway 3 (GPA)</w:t>
            </w:r>
          </w:p>
        </w:tc>
      </w:tr>
      <w:tr>
        <w:tc>
          <w:tcPr>
            <w:tcW w:type="dxa" w:w="2556"/>
          </w:tcPr>
          <w:p>
            <w:r/>
            <w:r>
              <w:rPr>
                <w:sz w:val="19"/>
              </w:rPr>
              <w:t>Oando gets</w:t>
            </w:r>
          </w:p>
        </w:tc>
        <w:tc>
          <w:tcPr>
            <w:tcW w:type="dxa" w:w="2556"/>
          </w:tcPr>
          <w:p>
            <w:r/>
            <w:r>
              <w:rPr>
                <w:sz w:val="19"/>
              </w:rPr>
              <w:t>~$730K/yr</w:t>
            </w:r>
          </w:p>
        </w:tc>
        <w:tc>
          <w:tcPr>
            <w:tcW w:type="dxa" w:w="2556"/>
          </w:tcPr>
          <w:p>
            <w:r/>
            <w:r>
              <w:rPr>
                <w:sz w:val="19"/>
              </w:rPr>
              <w:t>~$1.1M/yr</w:t>
            </w:r>
          </w:p>
        </w:tc>
        <w:tc>
          <w:tcPr>
            <w:tcW w:type="dxa" w:w="2556"/>
          </w:tcPr>
          <w:p>
            <w:r/>
            <w:r>
              <w:rPr>
                <w:sz w:val="19"/>
              </w:rPr>
              <w:t>Gas price margin</w:t>
            </w:r>
          </w:p>
        </w:tc>
      </w:tr>
      <w:tr>
        <w:tc>
          <w:tcPr>
            <w:tcW w:type="dxa" w:w="2556"/>
          </w:tcPr>
          <w:p>
            <w:r/>
            <w:r>
              <w:rPr>
                <w:sz w:val="19"/>
              </w:rPr>
              <w:t>Over 5 years</w:t>
            </w:r>
          </w:p>
        </w:tc>
        <w:tc>
          <w:tcPr>
            <w:tcW w:type="dxa" w:w="2556"/>
          </w:tcPr>
          <w:p>
            <w:r/>
            <w:r>
              <w:rPr>
                <w:sz w:val="19"/>
              </w:rPr>
              <w:t>~$3.65M</w:t>
            </w:r>
          </w:p>
        </w:tc>
        <w:tc>
          <w:tcPr>
            <w:tcW w:type="dxa" w:w="2556"/>
          </w:tcPr>
          <w:p>
            <w:r/>
            <w:r>
              <w:rPr>
                <w:sz w:val="19"/>
              </w:rPr>
              <w:t>~$5.75M</w:t>
            </w:r>
          </w:p>
        </w:tc>
        <w:tc>
          <w:tcPr>
            <w:tcW w:type="dxa" w:w="2556"/>
          </w:tcPr>
          <w:p>
            <w:r/>
            <w:r>
              <w:rPr>
                <w:sz w:val="19"/>
              </w:rPr>
              <w:t>Volume-dependent</w:t>
            </w:r>
          </w:p>
        </w:tc>
      </w:tr>
      <w:tr>
        <w:tc>
          <w:tcPr>
            <w:tcW w:type="dxa" w:w="2556"/>
          </w:tcPr>
          <w:p>
            <w:r/>
            <w:r>
              <w:rPr>
                <w:sz w:val="19"/>
              </w:rPr>
              <w:t>Oando capex</w:t>
            </w:r>
          </w:p>
        </w:tc>
        <w:tc>
          <w:tcPr>
            <w:tcW w:type="dxa" w:w="2556"/>
          </w:tcPr>
          <w:p>
            <w:r/>
            <w:r>
              <w:rPr>
                <w:sz w:val="19"/>
              </w:rPr>
              <w:t>ZERO</w:t>
            </w:r>
          </w:p>
        </w:tc>
        <w:tc>
          <w:tcPr>
            <w:tcW w:type="dxa" w:w="2556"/>
          </w:tcPr>
          <w:p>
            <w:r/>
            <w:r>
              <w:rPr>
                <w:sz w:val="19"/>
              </w:rPr>
              <w:t>Genset invest</w:t>
            </w:r>
          </w:p>
        </w:tc>
        <w:tc>
          <w:tcPr>
            <w:tcW w:type="dxa" w:w="2556"/>
          </w:tcPr>
          <w:p>
            <w:r/>
            <w:r>
              <w:rPr>
                <w:sz w:val="19"/>
              </w:rPr>
              <w:t>ZERO</w:t>
            </w:r>
          </w:p>
        </w:tc>
      </w:tr>
      <w:tr>
        <w:tc>
          <w:tcPr>
            <w:tcW w:type="dxa" w:w="2556"/>
          </w:tcPr>
          <w:p>
            <w:r/>
            <w:r>
              <w:rPr>
                <w:sz w:val="19"/>
              </w:rPr>
              <w:t>Oando risk</w:t>
            </w:r>
          </w:p>
        </w:tc>
        <w:tc>
          <w:tcPr>
            <w:tcW w:type="dxa" w:w="2556"/>
          </w:tcPr>
          <w:p>
            <w:r/>
            <w:r>
              <w:rPr>
                <w:sz w:val="19"/>
              </w:rPr>
              <w:t>ZERO</w:t>
            </w:r>
          </w:p>
        </w:tc>
        <w:tc>
          <w:tcPr>
            <w:tcW w:type="dxa" w:w="2556"/>
          </w:tcPr>
          <w:p>
            <w:r/>
            <w:r>
              <w:rPr>
                <w:sz w:val="19"/>
              </w:rPr>
              <w:t>Moderate</w:t>
            </w:r>
          </w:p>
        </w:tc>
        <w:tc>
          <w:tcPr>
            <w:tcW w:type="dxa" w:w="2556"/>
          </w:tcPr>
          <w:p>
            <w:r/>
            <w:r>
              <w:rPr>
                <w:sz w:val="19"/>
              </w:rPr>
              <w:t>ZERO</w:t>
            </w:r>
          </w:p>
        </w:tc>
      </w:tr>
    </w:tbl>
    <w:p>
      <w:pPr>
        <w:ind w:left="432" w:right="432"/>
      </w:pPr>
      <w:r>
        <w:rPr>
          <w:i/>
          <w:color w:val="003366"/>
          <w:sz w:val="21"/>
        </w:rPr>
        <w:t>Every dollar of this is from gas that currently generates nothing. Any price we agree on is pure upside.</w:t>
      </w:r>
    </w:p>
    <w:p>
      <w:r>
        <w:rPr>
          <w:b/>
          <w:sz w:val="22"/>
        </w:rPr>
        <w:t>“Are those rates negotiable?”</w:t>
      </w:r>
    </w:p>
    <w:p>
      <w:pPr>
        <w:ind w:left="432" w:right="432"/>
      </w:pPr>
      <w:r>
        <w:rPr>
          <w:i/>
          <w:color w:val="003366"/>
          <w:sz w:val="21"/>
        </w:rPr>
        <w:t>Those are starting points — we’re open to discussion once we confirm the pathway and site data. What’s non-negotiable is the principle: Oando should be earning from this gas, not paying penalties on it.</w:t>
      </w:r>
    </w:p>
    <w:p>
      <w:r>
        <w:rPr>
          <w:b/>
          <w:color w:val="003366"/>
          <w:sz w:val="28"/>
        </w:rPr>
        <w:t>IF THEY GO TO RISK/COMPLIANCE (Bayo will push here)</w:t>
      </w:r>
    </w:p>
    <w:p>
      <w:r>
        <w:rPr>
          <w:b/>
          <w:sz w:val="22"/>
        </w:rPr>
        <w:t>“What’s the risk to Oando?”</w:t>
      </w:r>
    </w:p>
    <w:p>
      <w:pPr>
        <w:ind w:left="432" w:right="432"/>
      </w:pPr>
      <w:r>
        <w:rPr>
          <w:i/>
          <w:color w:val="003366"/>
          <w:sz w:val="21"/>
        </w:rPr>
        <w:t>Under Pathways 1 and 3: zero capital, zero operational liability. NRG Bloom owns, builds, and operates everything. The contract protects Oando from any technical, cyber, or operational risk. Oando’s role is site access and gas supply — that’s it.</w:t>
      </w:r>
    </w:p>
    <w:p>
      <w:r>
        <w:rPr>
          <w:b/>
          <w:sz w:val="22"/>
        </w:rPr>
        <w:t>“Are you incorporated in Nigeria?”</w:t>
      </w:r>
    </w:p>
    <w:p>
      <w:pPr>
        <w:ind w:left="432" w:right="432"/>
      </w:pPr>
      <w:r>
        <w:rPr>
          <w:i/>
          <w:color w:val="003366"/>
          <w:sz w:val="21"/>
        </w:rPr>
        <w:t>NRG Bloom Services is our registered Nigerian subsidiary. We’re operational at Ogboinbiri under that entity. Hand to Dayo for NCDMB / Nigerian Content questions.</w:t>
      </w:r>
    </w:p>
    <w:p>
      <w:r>
        <w:rPr>
          <w:b/>
          <w:sz w:val="22"/>
        </w:rPr>
        <w:t>“What about NGFCP, PIA?”</w:t>
      </w:r>
    </w:p>
    <w:p>
      <w:pPr>
        <w:ind w:left="432" w:right="432"/>
      </w:pPr>
      <w:r>
        <w:rPr>
          <w:i/>
          <w:color w:val="003366"/>
          <w:sz w:val="21"/>
        </w:rPr>
        <w:t>Hand to Dayo. Then add: NUPRC just issued 28 NGFCP permits in December — 49 sites, $2B investment target. The regulatory momentum for exactly this model is accelerating. Third-party developers are getting permits. Oando can either capture value from its own gas or watch others do it.</w:t>
      </w:r>
    </w:p>
    <w:p>
      <w:r>
        <w:rPr>
          <w:b/>
          <w:color w:val="003366"/>
          <w:sz w:val="28"/>
        </w:rPr>
        <w:t>IF THEY BRING UP COMPETITION</w:t>
      </w:r>
    </w:p>
    <w:p>
      <w:r>
        <w:rPr>
          <w:b/>
          <w:sz w:val="22"/>
        </w:rPr>
        <w:t>“Green Flare is already doing this”</w:t>
      </w:r>
    </w:p>
    <w:p>
      <w:pPr>
        <w:ind w:left="432" w:right="432"/>
      </w:pPr>
      <w:r>
        <w:rPr>
          <w:i/>
          <w:color w:val="003366"/>
          <w:sz w:val="21"/>
        </w:rPr>
        <w:t>Great proof point — validates the model in Nigeria. They’re building 53 MW at OML 30, different operator, different assets. We’re the only team already running on Oando’s infrastructure. And we’re positioning for AI/HPC compute — higher margins, more stable revenue than mining alone.</w:t>
      </w:r>
    </w:p>
    <w:p>
      <w:r>
        <w:rPr>
          <w:b/>
          <w:sz w:val="22"/>
        </w:rPr>
        <w:t>“You already have CarbonAi”</w:t>
      </w:r>
    </w:p>
    <w:p>
      <w:pPr>
        <w:ind w:left="432" w:right="432"/>
      </w:pPr>
      <w:r>
        <w:rPr>
          <w:i/>
          <w:color w:val="003366"/>
          <w:sz w:val="21"/>
        </w:rPr>
        <w:t>CarbonAi certifies carbon credits. We generate cash revenue. Same gas, two value streams — complementary, not competitive. CarbonAi handles ESG reporting. NRG Bloom handles monetization.</w:t>
      </w:r>
    </w:p>
    <w:p>
      <w:r>
        <w:rPr>
          <w:b/>
          <w:color w:val="003366"/>
          <w:sz w:val="28"/>
        </w:rPr>
        <w:t>IF THEY ASK ABOUT SCALE</w:t>
      </w:r>
    </w:p>
    <w:p>
      <w:r>
        <w:rPr>
          <w:b/>
          <w:sz w:val="22"/>
        </w:rPr>
        <w:t>“Can this work on OMLs 60-63?”</w:t>
      </w:r>
    </w:p>
    <w:p>
      <w:pPr>
        <w:ind w:left="432" w:right="432"/>
      </w:pPr>
      <w:r>
        <w:rPr>
          <w:i/>
          <w:color w:val="003366"/>
          <w:sz w:val="21"/>
        </w:rPr>
        <w:t>Absolutely — that’s Phase 2. But for Phase 1, we recommend a site where Oando has full control — skip the NNPC JV committee timelines. Once we prove the model, expanding to JV assets becomes a much easier internal conversation.</w:t>
      </w:r>
    </w:p>
    <w:p>
      <w:r>
        <w:rPr>
          <w:b/>
          <w:sz w:val="22"/>
        </w:rPr>
        <w:t>“What’s the timeline?”</w:t>
      </w:r>
    </w:p>
    <w:p>
      <w:pPr>
        <w:ind w:left="432" w:right="432"/>
      </w:pPr>
      <w:r>
        <w:rPr>
          <w:i/>
          <w:color w:val="003366"/>
          <w:sz w:val="21"/>
        </w:rPr>
        <w:t>MOU to first megawatt: 6 to 9 months. That puts us at Q4 2026 — within your 2027 Zero Flare commitment window.</w:t>
      </w:r>
    </w:p>
    <w:p>
      <w:r>
        <w:rPr>
          <w:b/>
          <w:color w:val="003366"/>
          <w:sz w:val="28"/>
        </w:rPr>
        <w:t>MINUTE 45-60: YOU CLOSE — GET THE NEXT STEP</w:t>
      </w:r>
    </w:p>
    <w:p>
      <w:r>
        <w:rPr>
          <w:b/>
          <w:color w:val="B41E1E"/>
          <w:sz w:val="21"/>
        </w:rPr>
        <w:t>This is where the deal advances or dies. Do NOT leave without a concrete next step.</w:t>
      </w:r>
    </w:p>
    <w:p>
      <w:r>
        <w:rPr>
          <w:b/>
          <w:color w:val="000000"/>
          <w:sz w:val="24"/>
        </w:rPr>
        <w:t>Step 1 — Confirm direction:</w:t>
      </w:r>
    </w:p>
    <w:p>
      <w:pPr>
        <w:ind w:left="432" w:right="432"/>
      </w:pPr>
      <w:r>
        <w:rPr>
          <w:i/>
          <w:color w:val="003366"/>
          <w:sz w:val="21"/>
        </w:rPr>
        <w:t>Based on what we’ve discussed, it sounds like [Pathway X] is the right starting point. Does that match your team’s view?</w:t>
      </w:r>
    </w:p>
    <w:p>
      <w:r>
        <w:rPr>
          <w:b/>
          <w:color w:val="000000"/>
          <w:sz w:val="24"/>
        </w:rPr>
        <w:t>Step 2 — Get their process:</w:t>
      </w:r>
    </w:p>
    <w:p>
      <w:pPr>
        <w:ind w:left="432" w:right="432"/>
      </w:pPr>
      <w:r>
        <w:rPr>
          <w:i/>
          <w:color w:val="003366"/>
          <w:sz w:val="21"/>
        </w:rPr>
        <w:t>What does your internal process look like from here? What do you need from us to move to the next stage?</w:t>
      </w:r>
    </w:p>
    <w:p>
      <w:r>
        <w:rPr>
          <w:b/>
          <w:color w:val="000000"/>
          <w:sz w:val="24"/>
        </w:rPr>
        <w:t>Step 3 — Request gas data (YOUR COMMITMENT TEST):</w:t>
      </w:r>
    </w:p>
    <w:p>
      <w:pPr>
        <w:ind w:left="432" w:right="432"/>
      </w:pPr>
      <w:r>
        <w:rPr>
          <w:i/>
          <w:color w:val="003366"/>
          <w:sz w:val="21"/>
        </w:rPr>
        <w:t>To finalize equipment sizing and confirm pricing, we need gas chromatographic data and flow measurements. Can your team provide that?</w:t>
      </w:r>
    </w:p>
    <w:p>
      <w:r>
        <w:rPr>
          <w:sz w:val="21"/>
        </w:rPr>
        <w:t>If they say yes = they’re serious. If they hedge:</w:t>
      </w:r>
    </w:p>
    <w:p>
      <w:pPr>
        <w:ind w:left="432" w:right="432"/>
      </w:pPr>
      <w:r>
        <w:rPr>
          <w:i/>
          <w:color w:val="003366"/>
          <w:sz w:val="21"/>
        </w:rPr>
        <w:t>Even preliminary data would let us come back with a tailored technical proposal within two weeks.</w:t>
      </w:r>
    </w:p>
    <w:p>
      <w:r>
        <w:rPr>
          <w:b/>
          <w:color w:val="000000"/>
          <w:sz w:val="24"/>
        </w:rPr>
        <w:t>Step 4 — Get Dr. Irune in the room:</w:t>
      </w:r>
    </w:p>
    <w:p>
      <w:pPr>
        <w:ind w:left="432" w:right="432"/>
      </w:pPr>
      <w:r>
        <w:rPr>
          <w:i/>
          <w:color w:val="003366"/>
          <w:sz w:val="21"/>
        </w:rPr>
        <w:t>Given this would sit under OERNL operationally, would it make sense to include Dr. Irune or his designated technical lead in the next conversation?</w:t>
      </w:r>
    </w:p>
    <w:p>
      <w:r>
        <w:rPr>
          <w:b/>
          <w:color w:val="000000"/>
          <w:sz w:val="24"/>
        </w:rPr>
        <w:t>Step 5 — Lock the date:</w:t>
      </w:r>
    </w:p>
    <w:p>
      <w:pPr>
        <w:ind w:left="432" w:right="432"/>
      </w:pPr>
      <w:r>
        <w:rPr>
          <w:i/>
          <w:color w:val="003366"/>
          <w:sz w:val="21"/>
        </w:rPr>
        <w:t>Can we schedule that follow-up for the next two weeks?</w:t>
      </w:r>
    </w:p>
    <w:p>
      <w:r>
        <w:rPr>
          <w:b/>
          <w:color w:val="000000"/>
          <w:sz w:val="24"/>
        </w:rPr>
        <w:t>Step 6 — Close hard:</w:t>
      </w:r>
    </w:p>
    <w:p>
      <w:pPr>
        <w:ind w:left="432" w:right="432"/>
      </w:pPr>
      <w:r>
        <w:rPr>
          <w:i/>
          <w:color w:val="003366"/>
          <w:sz w:val="21"/>
        </w:rPr>
        <w:t>The proof of concept is done. We’re ready to move as fast as you are.</w:t>
      </w:r>
    </w:p>
    <w:p>
      <w:r>
        <w:rPr>
          <w:b/>
          <w:color w:val="003366"/>
          <w:sz w:val="28"/>
        </w:rPr>
        <w:t>POWER NUMBERS — DROP NATURALLY</w:t>
      </w:r>
    </w:p>
    <w:tbl>
      <w:tblPr>
        <w:tblW w:type="auto" w:w="0"/>
        <w:jc w:val="center"/>
        <w:tblLook w:firstColumn="1" w:firstRow="1" w:lastColumn="0" w:lastRow="0" w:noHBand="0" w:noVBand="1" w:val="04A0"/>
      </w:tblPr>
      <w:tblGrid>
        <w:gridCol w:w="5112"/>
        <w:gridCol w:w="5112"/>
      </w:tblGrid>
      <w:tr>
        <w:tc>
          <w:tcPr>
            <w:tcW w:type="dxa" w:w="5112"/>
          </w:tcPr>
          <w:p>
            <w:r/>
            <w:r>
              <w:rPr>
                <w:b/>
                <w:sz w:val="19"/>
              </w:rPr>
              <w:t>Number</w:t>
            </w:r>
          </w:p>
        </w:tc>
        <w:tc>
          <w:tcPr>
            <w:tcW w:type="dxa" w:w="5112"/>
          </w:tcPr>
          <w:p>
            <w:r/>
            <w:r>
              <w:rPr>
                <w:b/>
                <w:sz w:val="19"/>
              </w:rPr>
              <w:t>When to use it</w:t>
            </w:r>
          </w:p>
        </w:tc>
      </w:tr>
      <w:tr>
        <w:tc>
          <w:tcPr>
            <w:tcW w:type="dxa" w:w="5112"/>
          </w:tcPr>
          <w:p>
            <w:r/>
            <w:r>
              <w:rPr>
                <w:sz w:val="19"/>
              </w:rPr>
              <w:t>$730K-$1.1M/yr to Oando</w:t>
            </w:r>
          </w:p>
        </w:tc>
        <w:tc>
          <w:tcPr>
            <w:tcW w:type="dxa" w:w="5112"/>
          </w:tcPr>
          <w:p>
            <w:r/>
            <w:r>
              <w:rPr>
                <w:sz w:val="19"/>
              </w:rPr>
              <w:t>Every time revenue comes up</w:t>
            </w:r>
          </w:p>
        </w:tc>
      </w:tr>
      <w:tr>
        <w:tc>
          <w:tcPr>
            <w:tcW w:type="dxa" w:w="5112"/>
          </w:tcPr>
          <w:p>
            <w:r/>
            <w:r>
              <w:rPr>
                <w:sz w:val="19"/>
              </w:rPr>
              <w:t>$0 capex to Oando</w:t>
            </w:r>
          </w:p>
        </w:tc>
        <w:tc>
          <w:tcPr>
            <w:tcW w:type="dxa" w:w="5112"/>
          </w:tcPr>
          <w:p>
            <w:r/>
            <w:r>
              <w:rPr>
                <w:sz w:val="19"/>
              </w:rPr>
              <w:t>Every time risk or structure comes up</w:t>
            </w:r>
          </w:p>
        </w:tc>
      </w:tr>
      <w:tr>
        <w:tc>
          <w:tcPr>
            <w:tcW w:type="dxa" w:w="5112"/>
          </w:tcPr>
          <w:p>
            <w:r/>
            <w:r>
              <w:rPr>
                <w:sz w:val="19"/>
              </w:rPr>
              <w:t>13+ months operational</w:t>
            </w:r>
          </w:p>
        </w:tc>
        <w:tc>
          <w:tcPr>
            <w:tcW w:type="dxa" w:w="5112"/>
          </w:tcPr>
          <w:p>
            <w:r/>
            <w:r>
              <w:rPr>
                <w:sz w:val="19"/>
              </w:rPr>
              <w:t>Every time credibility comes up</w:t>
            </w:r>
          </w:p>
        </w:tc>
      </w:tr>
      <w:tr>
        <w:tc>
          <w:tcPr>
            <w:tcW w:type="dxa" w:w="5112"/>
          </w:tcPr>
          <w:p>
            <w:r/>
            <w:r>
              <w:rPr>
                <w:sz w:val="19"/>
              </w:rPr>
              <w:t>$3.65-5.75M over 5 years</w:t>
            </w:r>
          </w:p>
        </w:tc>
        <w:tc>
          <w:tcPr>
            <w:tcW w:type="dxa" w:w="5112"/>
          </w:tcPr>
          <w:p>
            <w:r/>
            <w:r>
              <w:rPr>
                <w:sz w:val="19"/>
              </w:rPr>
              <w:t>When they need a bigger number for approval</w:t>
            </w:r>
          </w:p>
        </w:tc>
      </w:tr>
      <w:tr>
        <w:tc>
          <w:tcPr>
            <w:tcW w:type="dxa" w:w="5112"/>
          </w:tcPr>
          <w:p>
            <w:r/>
            <w:r>
              <w:rPr>
                <w:sz w:val="19"/>
              </w:rPr>
              <w:t>59% gas sales growth (FY2025)</w:t>
            </w:r>
          </w:p>
        </w:tc>
        <w:tc>
          <w:tcPr>
            <w:tcW w:type="dxa" w:w="5112"/>
          </w:tcPr>
          <w:p>
            <w:r/>
            <w:r>
              <w:rPr>
                <w:sz w:val="19"/>
              </w:rPr>
              <w:t>You’re ramping gas monetization — we’re a ready offtaker</w:t>
            </w:r>
          </w:p>
        </w:tc>
      </w:tr>
      <w:tr>
        <w:tc>
          <w:tcPr>
            <w:tcW w:type="dxa" w:w="5112"/>
          </w:tcPr>
          <w:p>
            <w:r/>
            <w:r>
              <w:rPr>
                <w:sz w:val="19"/>
              </w:rPr>
              <w:t>960 MW Kwale-Okpai</w:t>
            </w:r>
          </w:p>
        </w:tc>
        <w:tc>
          <w:tcPr>
            <w:tcW w:type="dxa" w:w="5112"/>
          </w:tcPr>
          <w:p>
            <w:r/>
            <w:r>
              <w:rPr>
                <w:sz w:val="19"/>
              </w:rPr>
              <w:t>You know gas-to-infra — we’re the digital version</w:t>
            </w:r>
          </w:p>
        </w:tc>
      </w:tr>
      <w:tr>
        <w:tc>
          <w:tcPr>
            <w:tcW w:type="dxa" w:w="5112"/>
          </w:tcPr>
          <w:p>
            <w:r/>
            <w:r>
              <w:rPr>
                <w:sz w:val="19"/>
              </w:rPr>
              <w:t>28 NGFCP permits (Dec 2025)</w:t>
            </w:r>
          </w:p>
        </w:tc>
        <w:tc>
          <w:tcPr>
            <w:tcW w:type="dxa" w:w="5112"/>
          </w:tcPr>
          <w:p>
            <w:r/>
            <w:r>
              <w:rPr>
                <w:sz w:val="19"/>
              </w:rPr>
              <w:t>Regulatory momentum is real — 49 sites, $2B target</w:t>
            </w:r>
          </w:p>
        </w:tc>
      </w:tr>
      <w:tr>
        <w:tc>
          <w:tcPr>
            <w:tcW w:type="dxa" w:w="5112"/>
          </w:tcPr>
          <w:p>
            <w:r/>
            <w:r>
              <w:rPr>
                <w:sz w:val="19"/>
              </w:rPr>
              <w:t>0.5 mmscf/d pilot minimum</w:t>
            </w:r>
          </w:p>
        </w:tc>
        <w:tc>
          <w:tcPr>
            <w:tcW w:type="dxa" w:w="5112"/>
          </w:tcPr>
          <w:p>
            <w:r/>
            <w:r>
              <w:rPr>
                <w:sz w:val="19"/>
              </w:rPr>
              <w:t>When Eleas asks about gas volumes</w:t>
            </w:r>
          </w:p>
        </w:tc>
      </w:tr>
    </w:tbl>
    <w:p>
      <w:r>
        <w:rPr>
          <w:b/>
          <w:color w:val="003366"/>
          <w:sz w:val="28"/>
        </w:rPr>
        <w:t>WHAT NOT TO DO</w:t>
      </w:r>
    </w:p>
    <w:p>
      <w:pPr>
        <w:pStyle w:val="ListBullet"/>
      </w:pPr>
      <w:r>
        <w:rPr>
          <w:sz w:val="21"/>
        </w:rPr>
        <w:t>Don’t re-present the proposal — they’ve read it</w:t>
      </w:r>
    </w:p>
    <w:p>
      <w:pPr>
        <w:pStyle w:val="ListBullet"/>
      </w:pPr>
      <w:r>
        <w:rPr>
          <w:sz w:val="21"/>
        </w:rPr>
        <w:t>Don’t negotiate rates — “starting points, open once we confirm pathway and data”</w:t>
      </w:r>
    </w:p>
    <w:p>
      <w:pPr>
        <w:pStyle w:val="ListBullet"/>
      </w:pPr>
      <w:r>
        <w:rPr>
          <w:sz w:val="21"/>
        </w:rPr>
        <w:t>Don’t commit to equipment specs — “depends on your gas data”</w:t>
      </w:r>
    </w:p>
    <w:p>
      <w:pPr>
        <w:pStyle w:val="ListBullet"/>
      </w:pPr>
      <w:r>
        <w:rPr>
          <w:sz w:val="21"/>
        </w:rPr>
        <w:t>Don’t mention TON, litigation, or internal disputes</w:t>
      </w:r>
    </w:p>
    <w:p>
      <w:pPr>
        <w:pStyle w:val="ListBullet"/>
      </w:pPr>
      <w:r>
        <w:rPr>
          <w:sz w:val="21"/>
        </w:rPr>
        <w:t>Don’t talk more than them</w:t>
      </w:r>
    </w:p>
    <w:p>
      <w:pPr>
        <w:pStyle w:val="ListBullet"/>
      </w:pPr>
      <w:r>
        <w:rPr>
          <w:sz w:val="21"/>
        </w:rPr>
        <w:t>Don’t let the call end without a next step and a date</w:t>
      </w:r>
    </w:p>
    <w:p>
      <w:r>
        <w:rPr>
          <w:b/>
          <w:color w:val="003366"/>
          <w:sz w:val="28"/>
        </w:rPr>
        <w:t>IF IT GOES SIDEWAYS</w:t>
      </w:r>
    </w:p>
    <w:tbl>
      <w:tblPr>
        <w:tblW w:type="auto" w:w="0"/>
        <w:jc w:val="center"/>
        <w:tblLook w:firstColumn="1" w:firstRow="1" w:lastColumn="0" w:lastRow="0" w:noHBand="0" w:noVBand="1" w:val="04A0"/>
      </w:tblPr>
      <w:tblGrid>
        <w:gridCol w:w="5112"/>
        <w:gridCol w:w="5112"/>
      </w:tblGrid>
      <w:tr>
        <w:tc>
          <w:tcPr>
            <w:tcW w:type="dxa" w:w="5112"/>
          </w:tcPr>
          <w:p>
            <w:r/>
            <w:r>
              <w:rPr>
                <w:b/>
                <w:sz w:val="19"/>
              </w:rPr>
              <w:t>What happens</w:t>
            </w:r>
          </w:p>
        </w:tc>
        <w:tc>
          <w:tcPr>
            <w:tcW w:type="dxa" w:w="5112"/>
          </w:tcPr>
          <w:p>
            <w:r/>
            <w:r>
              <w:rPr>
                <w:b/>
                <w:sz w:val="19"/>
              </w:rPr>
              <w:t>What you do</w:t>
            </w:r>
          </w:p>
        </w:tc>
      </w:tr>
      <w:tr>
        <w:tc>
          <w:tcPr>
            <w:tcW w:type="dxa" w:w="5112"/>
          </w:tcPr>
          <w:p>
            <w:r/>
            <w:r>
              <w:rPr>
                <w:sz w:val="19"/>
              </w:rPr>
              <w:t>“We’ll be in touch” (no next step)</w:t>
            </w:r>
          </w:p>
        </w:tc>
        <w:tc>
          <w:tcPr>
            <w:tcW w:type="dxa" w:w="5112"/>
          </w:tcPr>
          <w:p>
            <w:r/>
            <w:r>
              <w:rPr>
                <w:sz w:val="19"/>
              </w:rPr>
              <w:t>“Can we lock in a date? Second or third week of March?”</w:t>
            </w:r>
          </w:p>
        </w:tc>
      </w:tr>
      <w:tr>
        <w:tc>
          <w:tcPr>
            <w:tcW w:type="dxa" w:w="5112"/>
          </w:tcPr>
          <w:p>
            <w:r/>
            <w:r>
              <w:rPr>
                <w:sz w:val="19"/>
              </w:rPr>
              <w:t>Bayo dominates on compliance</w:t>
            </w:r>
          </w:p>
        </w:tc>
        <w:tc>
          <w:tcPr>
            <w:tcW w:type="dxa" w:w="5112"/>
          </w:tcPr>
          <w:p>
            <w:r/>
            <w:r>
              <w:rPr>
                <w:sz w:val="19"/>
              </w:rPr>
              <w:t>“Great points — can we get Eleas’s technical read on volumes first?”</w:t>
            </w:r>
          </w:p>
        </w:tc>
      </w:tr>
      <w:tr>
        <w:tc>
          <w:tcPr>
            <w:tcW w:type="dxa" w:w="5112"/>
          </w:tcPr>
          <w:p>
            <w:r/>
            <w:r>
              <w:rPr>
                <w:sz w:val="19"/>
              </w:rPr>
              <w:t>Dead air / low energy</w:t>
            </w:r>
          </w:p>
        </w:tc>
        <w:tc>
          <w:tcPr>
            <w:tcW w:type="dxa" w:w="5112"/>
          </w:tcPr>
          <w:p>
            <w:r/>
            <w:r>
              <w:rPr>
                <w:sz w:val="19"/>
              </w:rPr>
              <w:t>“What would make this a no-brainer for Oando internally?”</w:t>
            </w:r>
          </w:p>
        </w:tc>
      </w:tr>
      <w:tr>
        <w:tc>
          <w:tcPr>
            <w:tcW w:type="dxa" w:w="5112"/>
          </w:tcPr>
          <w:p>
            <w:r/>
            <w:r>
              <w:rPr>
                <w:sz w:val="19"/>
              </w:rPr>
              <w:t>They mention a competitor</w:t>
            </w:r>
          </w:p>
        </w:tc>
        <w:tc>
          <w:tcPr>
            <w:tcW w:type="dxa" w:w="5112"/>
          </w:tcPr>
          <w:p>
            <w:r/>
            <w:r>
              <w:rPr>
                <w:sz w:val="19"/>
              </w:rPr>
              <w:t>Ask who. Then: “We’re the only one already on your infrastructure.”</w:t>
            </w:r>
          </w:p>
        </w:tc>
      </w:tr>
      <w:tr>
        <w:tc>
          <w:tcPr>
            <w:tcW w:type="dxa" w:w="5112"/>
          </w:tcPr>
          <w:p>
            <w:r/>
            <w:r>
              <w:rPr>
                <w:sz w:val="19"/>
              </w:rPr>
              <w:t>They ask for a financial model</w:t>
            </w:r>
          </w:p>
        </w:tc>
        <w:tc>
          <w:tcPr>
            <w:tcW w:type="dxa" w:w="5112"/>
          </w:tcPr>
          <w:p>
            <w:r/>
            <w:r>
              <w:rPr>
                <w:sz w:val="19"/>
              </w:rPr>
              <w:t>“We’ll provide one once you share site gas data — this week?”</w:t>
            </w:r>
          </w:p>
        </w:tc>
      </w:tr>
      <w:tr>
        <w:tc>
          <w:tcPr>
            <w:tcW w:type="dxa" w:w="5112"/>
          </w:tcPr>
          <w:p>
            <w:r/>
            <w:r>
              <w:rPr>
                <w:sz w:val="19"/>
              </w:rPr>
              <w:t>Interested but cautious</w:t>
            </w:r>
          </w:p>
        </w:tc>
        <w:tc>
          <w:tcPr>
            <w:tcW w:type="dxa" w:w="5112"/>
          </w:tcPr>
          <w:p>
            <w:r/>
            <w:r>
              <w:rPr>
                <w:sz w:val="19"/>
              </w:rPr>
              <w:t>“Every month without a deal is revenue Oando leaves on the table.”</w:t>
            </w:r>
          </w:p>
        </w:tc>
      </w:tr>
    </w:tbl>
    <w:p>
      <w:r>
        <w:rPr>
          <w:b/>
          <w:color w:val="003366"/>
          <w:sz w:val="28"/>
        </w:rPr>
        <w:t>YOUR TEAM</w:t>
      </w:r>
    </w:p>
    <w:tbl>
      <w:tblPr>
        <w:tblW w:type="auto" w:w="0"/>
        <w:jc w:val="center"/>
        <w:tblLook w:firstColumn="1" w:firstRow="1" w:lastColumn="0" w:lastRow="0" w:noHBand="0" w:noVBand="1" w:val="04A0"/>
      </w:tblPr>
      <w:tblGrid>
        <w:gridCol w:w="3408"/>
        <w:gridCol w:w="3408"/>
        <w:gridCol w:w="3408"/>
      </w:tblGrid>
      <w:tr>
        <w:tc>
          <w:tcPr>
            <w:tcW w:type="dxa" w:w="3408"/>
          </w:tcPr>
          <w:p>
            <w:r/>
            <w:r>
              <w:rPr>
                <w:b/>
                <w:sz w:val="19"/>
              </w:rPr>
              <w:t>Person</w:t>
            </w:r>
          </w:p>
        </w:tc>
        <w:tc>
          <w:tcPr>
            <w:tcW w:type="dxa" w:w="3408"/>
          </w:tcPr>
          <w:p>
            <w:r/>
            <w:r>
              <w:rPr>
                <w:b/>
                <w:sz w:val="19"/>
              </w:rPr>
              <w:t>Handles</w:t>
            </w:r>
          </w:p>
        </w:tc>
        <w:tc>
          <w:tcPr>
            <w:tcW w:type="dxa" w:w="3408"/>
          </w:tcPr>
          <w:p>
            <w:r/>
            <w:r>
              <w:rPr>
                <w:b/>
                <w:sz w:val="19"/>
              </w:rPr>
              <w:t>Hand off when...</w:t>
            </w:r>
          </w:p>
        </w:tc>
      </w:tr>
      <w:tr>
        <w:tc>
          <w:tcPr>
            <w:tcW w:type="dxa" w:w="3408"/>
          </w:tcPr>
          <w:p>
            <w:r/>
            <w:r>
              <w:rPr>
                <w:sz w:val="19"/>
              </w:rPr>
              <w:t>You (Makir)</w:t>
            </w:r>
          </w:p>
        </w:tc>
        <w:tc>
          <w:tcPr>
            <w:tcW w:type="dxa" w:w="3408"/>
          </w:tcPr>
          <w:p>
            <w:r/>
            <w:r>
              <w:rPr>
                <w:sz w:val="19"/>
              </w:rPr>
              <w:t>Opening, closing, vision, relationship, strategy</w:t>
            </w:r>
          </w:p>
        </w:tc>
        <w:tc>
          <w:tcPr>
            <w:tcW w:type="dxa" w:w="3408"/>
          </w:tcPr>
          <w:p>
            <w:r/>
            <w:r>
              <w:rPr>
                <w:sz w:val="19"/>
              </w:rPr>
              <w:t>Gas specs/pricing → Julie. Regulatory → Dayo</w:t>
            </w:r>
          </w:p>
        </w:tc>
      </w:tr>
      <w:tr>
        <w:tc>
          <w:tcPr>
            <w:tcW w:type="dxa" w:w="3408"/>
          </w:tcPr>
          <w:p>
            <w:r/>
            <w:r>
              <w:rPr>
                <w:sz w:val="19"/>
              </w:rPr>
              <w:t>Julie</w:t>
            </w:r>
          </w:p>
        </w:tc>
        <w:tc>
          <w:tcPr>
            <w:tcW w:type="dxa" w:w="3408"/>
          </w:tcPr>
          <w:p>
            <w:r/>
            <w:r>
              <w:rPr>
                <w:sz w:val="19"/>
              </w:rPr>
              <w:t>Proposal details, 3 pathways, gas specs, pricing</w:t>
            </w:r>
          </w:p>
        </w:tc>
        <w:tc>
          <w:tcPr>
            <w:tcW w:type="dxa" w:w="3408"/>
          </w:tcPr>
          <w:p>
            <w:r/>
            <w:r>
              <w:rPr>
                <w:sz w:val="19"/>
              </w:rPr>
              <w:t>Nigerian regulatory → Dayo</w:t>
            </w:r>
          </w:p>
        </w:tc>
      </w:tr>
      <w:tr>
        <w:tc>
          <w:tcPr>
            <w:tcW w:type="dxa" w:w="3408"/>
          </w:tcPr>
          <w:p>
            <w:r/>
            <w:r>
              <w:rPr>
                <w:sz w:val="19"/>
              </w:rPr>
              <w:t>Dayo</w:t>
            </w:r>
          </w:p>
        </w:tc>
        <w:tc>
          <w:tcPr>
            <w:tcW w:type="dxa" w:w="3408"/>
          </w:tcPr>
          <w:p>
            <w:r/>
            <w:r>
              <w:rPr>
                <w:sz w:val="19"/>
              </w:rPr>
              <w:t>Nigeria credibility, NGFCP, PIA, NCDMB, community</w:t>
            </w:r>
          </w:p>
        </w:tc>
        <w:tc>
          <w:tcPr>
            <w:tcW w:type="dxa" w:w="3408"/>
          </w:tcPr>
          <w:p>
            <w:r/>
            <w:r>
              <w:rPr>
                <w:sz w:val="19"/>
              </w:rPr>
              <w:t>Strategic/commercial → back to you</w:t>
            </w:r>
          </w:p>
        </w:tc>
      </w:tr>
    </w:tbl>
    <w:sectPr w:rsidR="00FC693F" w:rsidRPr="0006063C" w:rsidSect="00034616">
      <w:pgSz w:w="12240" w:h="15840"/>
      <w:pgMar w:top="864"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