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3F6" w:rsidRPr="00B6564A" w:rsidRDefault="009233F6" w:rsidP="009233F6">
      <w:pPr>
        <w:spacing w:line="240" w:lineRule="atLeast"/>
        <w:ind w:firstLine="17"/>
        <w:jc w:val="center"/>
        <w:outlineLvl w:val="1"/>
        <w:rPr>
          <w:rFonts w:eastAsia="標楷體"/>
          <w:b/>
          <w:sz w:val="44"/>
          <w:szCs w:val="48"/>
        </w:rPr>
      </w:pPr>
      <w:bookmarkStart w:id="0" w:name="_Toc399448994"/>
      <w:r w:rsidRPr="00B6564A">
        <w:rPr>
          <w:rFonts w:eastAsia="標楷體" w:hint="eastAsia"/>
          <w:b/>
          <w:sz w:val="44"/>
          <w:szCs w:val="48"/>
        </w:rPr>
        <w:t>公共行政</w:t>
      </w:r>
      <w:r>
        <w:rPr>
          <w:rFonts w:eastAsia="標楷體" w:hint="eastAsia"/>
          <w:b/>
          <w:sz w:val="44"/>
          <w:szCs w:val="48"/>
        </w:rPr>
        <w:t>就業</w:t>
      </w:r>
      <w:r w:rsidRPr="00B6564A">
        <w:rPr>
          <w:rFonts w:eastAsia="標楷體" w:hint="eastAsia"/>
          <w:b/>
          <w:sz w:val="44"/>
          <w:szCs w:val="48"/>
        </w:rPr>
        <w:t>學程計畫書</w:t>
      </w:r>
      <w:bookmarkEnd w:id="0"/>
    </w:p>
    <w:p w:rsidR="009233F6" w:rsidRDefault="009233F6" w:rsidP="009233F6">
      <w:pPr>
        <w:spacing w:line="276" w:lineRule="auto"/>
        <w:ind w:firstLine="17"/>
        <w:jc w:val="right"/>
        <w:rPr>
          <w:rFonts w:eastAsia="標楷體"/>
          <w:b/>
          <w:bCs/>
          <w:sz w:val="22"/>
          <w:szCs w:val="48"/>
        </w:rPr>
      </w:pPr>
    </w:p>
    <w:p w:rsidR="009233F6" w:rsidRDefault="009233F6" w:rsidP="009233F6">
      <w:pPr>
        <w:spacing w:line="276" w:lineRule="auto"/>
        <w:ind w:firstLine="17"/>
        <w:jc w:val="right"/>
        <w:rPr>
          <w:rFonts w:eastAsia="標楷體"/>
          <w:b/>
          <w:szCs w:val="24"/>
        </w:rPr>
      </w:pPr>
      <w:r>
        <w:rPr>
          <w:rFonts w:eastAsia="標楷體" w:hint="eastAsia"/>
          <w:b/>
          <w:bCs/>
          <w:sz w:val="22"/>
          <w:szCs w:val="48"/>
        </w:rPr>
        <w:t>經</w:t>
      </w:r>
      <w:r>
        <w:rPr>
          <w:rFonts w:eastAsia="標楷體" w:hint="eastAsia"/>
          <w:b/>
          <w:bCs/>
          <w:sz w:val="22"/>
          <w:szCs w:val="48"/>
        </w:rPr>
        <w:t>111-2-1</w:t>
      </w:r>
      <w:r>
        <w:rPr>
          <w:rFonts w:eastAsia="標楷體" w:hint="eastAsia"/>
          <w:b/>
          <w:bCs/>
          <w:sz w:val="22"/>
          <w:szCs w:val="48"/>
        </w:rPr>
        <w:t>教務會議修正通過</w:t>
      </w:r>
      <w:r>
        <w:rPr>
          <w:rFonts w:eastAsia="標楷體" w:hint="eastAsia"/>
          <w:b/>
          <w:bCs/>
          <w:sz w:val="22"/>
          <w:szCs w:val="48"/>
        </w:rPr>
        <w:t>(112.03.15)</w:t>
      </w:r>
    </w:p>
    <w:p w:rsidR="009233F6" w:rsidRPr="00B6564A" w:rsidRDefault="009233F6" w:rsidP="009233F6">
      <w:pPr>
        <w:spacing w:line="276" w:lineRule="auto"/>
        <w:ind w:firstLine="17"/>
        <w:rPr>
          <w:rFonts w:eastAsia="標楷體"/>
          <w:b/>
          <w:szCs w:val="24"/>
        </w:rPr>
      </w:pPr>
      <w:r w:rsidRPr="00B6564A">
        <w:rPr>
          <w:rFonts w:eastAsia="標楷體" w:hint="eastAsia"/>
          <w:b/>
          <w:szCs w:val="24"/>
        </w:rPr>
        <w:t>學程名稱：公共行政</w:t>
      </w:r>
      <w:r>
        <w:rPr>
          <w:rFonts w:eastAsia="標楷體" w:hint="eastAsia"/>
          <w:b/>
          <w:szCs w:val="24"/>
        </w:rPr>
        <w:t>就業</w:t>
      </w:r>
      <w:r w:rsidRPr="00B6564A">
        <w:rPr>
          <w:rFonts w:eastAsia="標楷體" w:hint="eastAsia"/>
          <w:b/>
          <w:szCs w:val="24"/>
        </w:rPr>
        <w:t>學程</w:t>
      </w:r>
    </w:p>
    <w:p w:rsidR="009233F6" w:rsidRPr="00B6564A" w:rsidRDefault="009233F6" w:rsidP="009233F6">
      <w:pPr>
        <w:tabs>
          <w:tab w:val="left" w:pos="76"/>
        </w:tabs>
        <w:spacing w:line="276" w:lineRule="auto"/>
        <w:ind w:leftChars="-2" w:left="-5" w:firstLine="21"/>
        <w:rPr>
          <w:rFonts w:eastAsia="標楷體"/>
          <w:b/>
          <w:szCs w:val="24"/>
        </w:rPr>
      </w:pPr>
      <w:r w:rsidRPr="00B6564A">
        <w:rPr>
          <w:rFonts w:eastAsia="標楷體" w:hint="eastAsia"/>
          <w:b/>
          <w:szCs w:val="24"/>
        </w:rPr>
        <w:t>權責單位：通識教育中心</w:t>
      </w:r>
    </w:p>
    <w:p w:rsidR="009233F6" w:rsidRPr="00B6564A" w:rsidRDefault="009233F6" w:rsidP="009233F6">
      <w:pPr>
        <w:spacing w:line="276" w:lineRule="auto"/>
        <w:ind w:firstLine="16"/>
        <w:rPr>
          <w:rFonts w:eastAsia="標楷體"/>
          <w:b/>
          <w:szCs w:val="24"/>
        </w:rPr>
      </w:pPr>
      <w:r w:rsidRPr="00B6564A">
        <w:rPr>
          <w:rFonts w:eastAsia="標楷體" w:hint="eastAsia"/>
          <w:b/>
          <w:szCs w:val="24"/>
        </w:rPr>
        <w:t>參與單位：全校各學系</w:t>
      </w:r>
    </w:p>
    <w:p w:rsidR="009233F6" w:rsidRPr="00B6564A" w:rsidRDefault="009233F6" w:rsidP="009233F6">
      <w:pPr>
        <w:spacing w:line="276" w:lineRule="auto"/>
        <w:ind w:firstLine="16"/>
        <w:rPr>
          <w:rFonts w:eastAsia="標楷體"/>
          <w:b/>
          <w:szCs w:val="24"/>
        </w:rPr>
      </w:pPr>
      <w:r>
        <w:rPr>
          <w:rFonts w:eastAsia="標楷體" w:hint="eastAsia"/>
          <w:b/>
          <w:szCs w:val="24"/>
        </w:rPr>
        <w:t>學程主持（召集）人：陳宏銘</w:t>
      </w:r>
    </w:p>
    <w:p w:rsidR="009233F6" w:rsidRPr="00B6564A" w:rsidRDefault="009233F6" w:rsidP="009233F6">
      <w:pPr>
        <w:numPr>
          <w:ilvl w:val="0"/>
          <w:numId w:val="1"/>
        </w:numPr>
        <w:spacing w:beforeLines="50" w:before="120" w:after="240" w:line="276" w:lineRule="auto"/>
        <w:ind w:left="658" w:hanging="641"/>
        <w:rPr>
          <w:rFonts w:eastAsia="標楷體"/>
          <w:b/>
          <w:sz w:val="28"/>
          <w:szCs w:val="24"/>
        </w:rPr>
      </w:pPr>
      <w:r w:rsidRPr="00B6564A">
        <w:rPr>
          <w:rFonts w:eastAsia="標楷體" w:hint="eastAsia"/>
          <w:b/>
          <w:sz w:val="28"/>
          <w:szCs w:val="24"/>
        </w:rPr>
        <w:t>宗旨</w:t>
      </w:r>
    </w:p>
    <w:p w:rsidR="009233F6" w:rsidRPr="00B6564A" w:rsidRDefault="009233F6" w:rsidP="009233F6">
      <w:pPr>
        <w:spacing w:line="276" w:lineRule="auto"/>
        <w:ind w:firstLine="480"/>
        <w:rPr>
          <w:rFonts w:eastAsia="標楷體"/>
          <w:szCs w:val="24"/>
        </w:rPr>
      </w:pPr>
      <w:r w:rsidRPr="00B6564A">
        <w:rPr>
          <w:rFonts w:eastAsia="標楷體" w:hint="eastAsia"/>
          <w:szCs w:val="24"/>
        </w:rPr>
        <w:t>為協助本校有志擔任公務人員之學生，學習公共行政之必備公務知能，參與公職考試，提升本校學生就業競爭力，特規劃本學程。本學程配合公務人員高、普考試一般行政類科之相關課程規劃，提供學生學習公共行政之知識和學養，並培育公務機關所需之行政人才。</w:t>
      </w:r>
    </w:p>
    <w:p w:rsidR="009233F6" w:rsidRPr="00B6564A" w:rsidRDefault="009233F6" w:rsidP="009233F6">
      <w:pPr>
        <w:numPr>
          <w:ilvl w:val="0"/>
          <w:numId w:val="1"/>
        </w:numPr>
        <w:spacing w:beforeLines="50" w:before="120" w:after="240" w:line="276" w:lineRule="auto"/>
        <w:ind w:left="658" w:hanging="641"/>
        <w:rPr>
          <w:rFonts w:eastAsia="標楷體"/>
          <w:b/>
          <w:sz w:val="28"/>
          <w:szCs w:val="24"/>
        </w:rPr>
      </w:pPr>
      <w:r w:rsidRPr="00B6564A">
        <w:rPr>
          <w:rFonts w:eastAsia="標楷體" w:hint="eastAsia"/>
          <w:b/>
          <w:sz w:val="28"/>
          <w:szCs w:val="24"/>
        </w:rPr>
        <w:t>特色與未來發展</w:t>
      </w:r>
    </w:p>
    <w:p w:rsidR="009233F6" w:rsidRPr="009233F6" w:rsidRDefault="009233F6" w:rsidP="009233F6">
      <w:pPr>
        <w:spacing w:line="276" w:lineRule="auto"/>
        <w:ind w:firstLineChars="200" w:firstLine="480"/>
        <w:rPr>
          <w:rFonts w:eastAsia="標楷體"/>
          <w:szCs w:val="24"/>
        </w:rPr>
      </w:pPr>
      <w:r w:rsidRPr="009233F6">
        <w:rPr>
          <w:rFonts w:eastAsia="標楷體" w:hint="eastAsia"/>
          <w:szCs w:val="24"/>
        </w:rPr>
        <w:t>本學程整合本校通識教育相關課程，鏈結公務人員考試一般行政類科。學程除提供一般正式課程外，並舉辦與考試實務相關的演講與輔導之學習活動，增進學生參加公務人員考試的基礎知能。</w:t>
      </w:r>
    </w:p>
    <w:p w:rsidR="009233F6" w:rsidRPr="009233F6" w:rsidRDefault="009233F6" w:rsidP="009233F6">
      <w:pPr>
        <w:numPr>
          <w:ilvl w:val="0"/>
          <w:numId w:val="1"/>
        </w:numPr>
        <w:spacing w:beforeLines="50" w:before="120" w:after="240" w:line="276" w:lineRule="auto"/>
        <w:ind w:left="658" w:hanging="641"/>
        <w:rPr>
          <w:rFonts w:eastAsia="標楷體"/>
          <w:b/>
          <w:sz w:val="28"/>
          <w:szCs w:val="26"/>
        </w:rPr>
      </w:pPr>
      <w:r w:rsidRPr="009233F6">
        <w:rPr>
          <w:rFonts w:eastAsia="標楷體" w:hint="eastAsia"/>
          <w:b/>
          <w:sz w:val="28"/>
          <w:szCs w:val="26"/>
        </w:rPr>
        <w:t>課程規劃</w:t>
      </w:r>
    </w:p>
    <w:p w:rsidR="009233F6" w:rsidRPr="009233F6" w:rsidRDefault="009233F6" w:rsidP="009233F6">
      <w:pPr>
        <w:numPr>
          <w:ilvl w:val="0"/>
          <w:numId w:val="2"/>
        </w:numPr>
        <w:spacing w:line="276" w:lineRule="auto"/>
        <w:rPr>
          <w:rFonts w:eastAsia="標楷體"/>
          <w:b/>
          <w:sz w:val="26"/>
          <w:szCs w:val="26"/>
        </w:rPr>
      </w:pPr>
      <w:r w:rsidRPr="009233F6">
        <w:rPr>
          <w:rFonts w:eastAsia="標楷體" w:hint="eastAsia"/>
          <w:b/>
          <w:sz w:val="26"/>
          <w:szCs w:val="26"/>
        </w:rPr>
        <w:t>修畢學程之學分數規定：</w:t>
      </w:r>
    </w:p>
    <w:p w:rsidR="009233F6" w:rsidRPr="009233F6" w:rsidRDefault="009233F6" w:rsidP="009233F6">
      <w:pPr>
        <w:spacing w:line="276" w:lineRule="auto"/>
        <w:rPr>
          <w:rFonts w:eastAsia="標楷體"/>
          <w:szCs w:val="24"/>
        </w:rPr>
      </w:pPr>
      <w:r w:rsidRPr="009233F6">
        <w:rPr>
          <w:rFonts w:eastAsia="標楷體"/>
          <w:szCs w:val="24"/>
        </w:rPr>
        <w:t xml:space="preserve">    </w:t>
      </w:r>
      <w:r w:rsidRPr="009233F6">
        <w:rPr>
          <w:rFonts w:eastAsia="標楷體" w:hint="eastAsia"/>
          <w:szCs w:val="24"/>
        </w:rPr>
        <w:t>本學程修畢總學分，含必修</w:t>
      </w:r>
      <w:r w:rsidRPr="009233F6">
        <w:rPr>
          <w:rFonts w:eastAsia="標楷體" w:hint="eastAsia"/>
          <w:szCs w:val="24"/>
        </w:rPr>
        <w:t>6</w:t>
      </w:r>
      <w:r w:rsidRPr="009233F6">
        <w:rPr>
          <w:rFonts w:eastAsia="標楷體" w:hint="eastAsia"/>
          <w:szCs w:val="24"/>
        </w:rPr>
        <w:t>學分、選修</w:t>
      </w:r>
      <w:r w:rsidRPr="009233F6">
        <w:rPr>
          <w:rFonts w:eastAsia="標楷體" w:hint="eastAsia"/>
          <w:szCs w:val="24"/>
        </w:rPr>
        <w:t>6</w:t>
      </w:r>
      <w:r w:rsidRPr="009233F6">
        <w:rPr>
          <w:rFonts w:eastAsia="標楷體" w:hint="eastAsia"/>
          <w:szCs w:val="24"/>
        </w:rPr>
        <w:t>學分，共計</w:t>
      </w:r>
      <w:r w:rsidRPr="009233F6">
        <w:rPr>
          <w:rFonts w:eastAsia="標楷體"/>
          <w:szCs w:val="24"/>
        </w:rPr>
        <w:t>1</w:t>
      </w:r>
      <w:r w:rsidRPr="009233F6">
        <w:rPr>
          <w:rFonts w:eastAsia="標楷體" w:hint="eastAsia"/>
          <w:szCs w:val="24"/>
        </w:rPr>
        <w:t>2</w:t>
      </w:r>
      <w:r w:rsidRPr="009233F6">
        <w:rPr>
          <w:rFonts w:eastAsia="標楷體" w:hint="eastAsia"/>
          <w:szCs w:val="24"/>
        </w:rPr>
        <w:t>學分。修滿學程規定之科目與學分者，得發給學程證明書。</w:t>
      </w:r>
    </w:p>
    <w:p w:rsidR="009233F6" w:rsidRPr="009233F6" w:rsidRDefault="009233F6" w:rsidP="009233F6">
      <w:pPr>
        <w:spacing w:line="276" w:lineRule="auto"/>
        <w:rPr>
          <w:rFonts w:eastAsia="標楷體" w:hint="eastAsia"/>
          <w:szCs w:val="24"/>
        </w:rPr>
      </w:pPr>
    </w:p>
    <w:p w:rsidR="009233F6" w:rsidRPr="009233F6" w:rsidRDefault="009233F6" w:rsidP="009233F6">
      <w:pPr>
        <w:numPr>
          <w:ilvl w:val="0"/>
          <w:numId w:val="3"/>
        </w:numPr>
        <w:spacing w:line="276" w:lineRule="auto"/>
        <w:rPr>
          <w:rFonts w:eastAsia="標楷體"/>
          <w:b/>
          <w:sz w:val="26"/>
          <w:szCs w:val="26"/>
        </w:rPr>
      </w:pPr>
      <w:r w:rsidRPr="009233F6">
        <w:rPr>
          <w:rFonts w:eastAsia="標楷體" w:hint="eastAsia"/>
          <w:b/>
          <w:sz w:val="26"/>
          <w:szCs w:val="26"/>
        </w:rPr>
        <w:t>課程設計原則與特色：</w:t>
      </w:r>
    </w:p>
    <w:p w:rsidR="009233F6" w:rsidRPr="009233F6" w:rsidRDefault="009233F6" w:rsidP="009233F6">
      <w:pPr>
        <w:numPr>
          <w:ilvl w:val="0"/>
          <w:numId w:val="4"/>
        </w:numPr>
        <w:spacing w:line="276" w:lineRule="auto"/>
        <w:ind w:left="1418" w:hanging="992"/>
        <w:rPr>
          <w:rFonts w:eastAsia="標楷體" w:hint="eastAsia"/>
          <w:szCs w:val="24"/>
        </w:rPr>
      </w:pPr>
      <w:r w:rsidRPr="009233F6">
        <w:rPr>
          <w:rFonts w:ascii="標楷體" w:eastAsia="標楷體" w:hAnsi="標楷體" w:hint="eastAsia"/>
          <w:szCs w:val="24"/>
        </w:rPr>
        <w:t>配合公務人員考試一般行政類科考試科目，以本校通識教育之行政與法律相關課程，以及相關學系之特定課程，作為現階段的課程主體。</w:t>
      </w:r>
    </w:p>
    <w:p w:rsidR="009233F6" w:rsidRPr="009233F6" w:rsidRDefault="009233F6" w:rsidP="009233F6">
      <w:pPr>
        <w:numPr>
          <w:ilvl w:val="0"/>
          <w:numId w:val="4"/>
        </w:numPr>
        <w:spacing w:line="276" w:lineRule="auto"/>
        <w:ind w:left="1418" w:hanging="992"/>
        <w:rPr>
          <w:rFonts w:eastAsia="標楷體"/>
          <w:szCs w:val="24"/>
        </w:rPr>
      </w:pPr>
      <w:r w:rsidRPr="009233F6">
        <w:rPr>
          <w:rFonts w:ascii="標楷體" w:eastAsia="標楷體" w:hAnsi="標楷體" w:hint="eastAsia"/>
          <w:szCs w:val="24"/>
        </w:rPr>
        <w:t>本學程與公務人員考試科目鏈結</w:t>
      </w:r>
      <w:r w:rsidRPr="009233F6">
        <w:rPr>
          <w:rFonts w:ascii="新細明體" w:hAnsi="新細明體" w:hint="eastAsia"/>
          <w:szCs w:val="24"/>
        </w:rPr>
        <w:t>，</w:t>
      </w:r>
      <w:r w:rsidRPr="009233F6">
        <w:rPr>
          <w:rFonts w:ascii="標楷體" w:eastAsia="標楷體" w:hAnsi="標楷體" w:hint="eastAsia"/>
          <w:szCs w:val="24"/>
        </w:rPr>
        <w:t>學生所修習之課程內容，既具有公共行政的基礎知識，同時也兼涵政法類通識教育素養</w:t>
      </w:r>
    </w:p>
    <w:p w:rsidR="009233F6" w:rsidRPr="009233F6" w:rsidRDefault="009233F6" w:rsidP="009233F6">
      <w:pPr>
        <w:spacing w:line="276" w:lineRule="auto"/>
        <w:ind w:left="1418"/>
        <w:rPr>
          <w:rFonts w:eastAsia="標楷體" w:hint="eastAsia"/>
          <w:szCs w:val="24"/>
        </w:rPr>
      </w:pPr>
    </w:p>
    <w:p w:rsidR="009233F6" w:rsidRPr="009233F6" w:rsidRDefault="009233F6" w:rsidP="009233F6">
      <w:pPr>
        <w:numPr>
          <w:ilvl w:val="0"/>
          <w:numId w:val="3"/>
        </w:numPr>
        <w:spacing w:line="276" w:lineRule="auto"/>
        <w:rPr>
          <w:rFonts w:eastAsia="標楷體"/>
          <w:b/>
          <w:szCs w:val="24"/>
        </w:rPr>
      </w:pPr>
      <w:r w:rsidRPr="009233F6">
        <w:rPr>
          <w:rFonts w:eastAsia="標楷體" w:hint="eastAsia"/>
          <w:b/>
          <w:sz w:val="26"/>
          <w:szCs w:val="26"/>
        </w:rPr>
        <w:t>課程結構與規劃內容（含課程地圖、課程規劃結構圖）</w:t>
      </w:r>
      <w:r w:rsidRPr="009233F6">
        <w:rPr>
          <w:rFonts w:eastAsia="標楷體" w:hint="eastAsia"/>
          <w:b/>
          <w:szCs w:val="24"/>
        </w:rPr>
        <w:t>：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3"/>
        <w:gridCol w:w="1655"/>
        <w:gridCol w:w="2312"/>
        <w:gridCol w:w="1330"/>
        <w:gridCol w:w="2070"/>
      </w:tblGrid>
      <w:tr w:rsidR="009233F6" w:rsidRPr="009233F6" w:rsidTr="009233F6">
        <w:tc>
          <w:tcPr>
            <w:tcW w:w="1983" w:type="dxa"/>
            <w:shd w:val="clear" w:color="auto" w:fill="auto"/>
          </w:tcPr>
          <w:p w:rsidR="009233F6" w:rsidRPr="009233F6" w:rsidRDefault="009233F6" w:rsidP="00811C8E">
            <w:pPr>
              <w:spacing w:line="276" w:lineRule="auto"/>
              <w:ind w:left="142" w:hangingChars="59" w:hanging="142"/>
              <w:rPr>
                <w:rFonts w:eastAsia="標楷體"/>
                <w:b/>
                <w:szCs w:val="24"/>
              </w:rPr>
            </w:pPr>
          </w:p>
        </w:tc>
        <w:tc>
          <w:tcPr>
            <w:tcW w:w="1655" w:type="dxa"/>
            <w:shd w:val="clear" w:color="auto" w:fill="auto"/>
          </w:tcPr>
          <w:p w:rsidR="009233F6" w:rsidRPr="009233F6" w:rsidRDefault="009233F6" w:rsidP="00811C8E">
            <w:pPr>
              <w:widowControl/>
              <w:jc w:val="center"/>
              <w:rPr>
                <w:rFonts w:ascii="標楷體" w:eastAsia="標楷體" w:hAnsi="標楷體" w:cs="Segoe UI"/>
                <w:b/>
                <w:bCs/>
                <w:kern w:val="0"/>
              </w:rPr>
            </w:pPr>
            <w:r w:rsidRPr="009233F6">
              <w:rPr>
                <w:rFonts w:ascii="標楷體" w:eastAsia="標楷體" w:hAnsi="標楷體" w:cs="Segoe UI" w:hint="eastAsia"/>
                <w:b/>
                <w:bCs/>
                <w:kern w:val="0"/>
              </w:rPr>
              <w:t>科目代碼</w:t>
            </w:r>
          </w:p>
        </w:tc>
        <w:tc>
          <w:tcPr>
            <w:tcW w:w="2312" w:type="dxa"/>
            <w:shd w:val="clear" w:color="auto" w:fill="auto"/>
          </w:tcPr>
          <w:p w:rsidR="009233F6" w:rsidRPr="009233F6" w:rsidRDefault="009233F6" w:rsidP="00811C8E">
            <w:pPr>
              <w:widowControl/>
              <w:jc w:val="center"/>
              <w:rPr>
                <w:rFonts w:ascii="Segoe UI" w:hAnsi="Segoe UI" w:cs="Segoe UI"/>
                <w:kern w:val="0"/>
              </w:rPr>
            </w:pPr>
            <w:r w:rsidRPr="009233F6">
              <w:rPr>
                <w:rFonts w:ascii="標楷體" w:eastAsia="標楷體" w:hAnsi="標楷體" w:cs="Segoe UI"/>
                <w:b/>
                <w:bCs/>
                <w:kern w:val="0"/>
              </w:rPr>
              <w:t>課程名稱</w:t>
            </w:r>
          </w:p>
        </w:tc>
        <w:tc>
          <w:tcPr>
            <w:tcW w:w="1330" w:type="dxa"/>
            <w:shd w:val="clear" w:color="auto" w:fill="auto"/>
          </w:tcPr>
          <w:p w:rsidR="009233F6" w:rsidRPr="009233F6" w:rsidRDefault="009233F6" w:rsidP="00811C8E">
            <w:pPr>
              <w:widowControl/>
              <w:jc w:val="center"/>
              <w:rPr>
                <w:rFonts w:ascii="Segoe UI" w:hAnsi="Segoe UI" w:cs="Segoe UI"/>
                <w:kern w:val="0"/>
              </w:rPr>
            </w:pPr>
            <w:r w:rsidRPr="009233F6">
              <w:rPr>
                <w:rFonts w:ascii="標楷體" w:eastAsia="標楷體" w:hAnsi="標楷體" w:cs="Segoe UI"/>
                <w:b/>
                <w:bCs/>
                <w:kern w:val="0"/>
              </w:rPr>
              <w:t>學分數</w:t>
            </w:r>
          </w:p>
        </w:tc>
        <w:tc>
          <w:tcPr>
            <w:tcW w:w="2070" w:type="dxa"/>
            <w:shd w:val="clear" w:color="auto" w:fill="auto"/>
          </w:tcPr>
          <w:p w:rsidR="009233F6" w:rsidRPr="009233F6" w:rsidRDefault="009233F6" w:rsidP="00811C8E">
            <w:pPr>
              <w:widowControl/>
              <w:jc w:val="center"/>
              <w:rPr>
                <w:rFonts w:ascii="Segoe UI" w:hAnsi="Segoe UI" w:cs="Segoe UI"/>
                <w:kern w:val="0"/>
              </w:rPr>
            </w:pPr>
            <w:r w:rsidRPr="009233F6">
              <w:rPr>
                <w:rFonts w:ascii="標楷體" w:eastAsia="標楷體" w:hAnsi="標楷體" w:cs="Segoe UI"/>
                <w:b/>
                <w:bCs/>
                <w:kern w:val="0"/>
              </w:rPr>
              <w:t>開課學系</w:t>
            </w:r>
          </w:p>
        </w:tc>
      </w:tr>
      <w:tr w:rsidR="009233F6" w:rsidRPr="009233F6" w:rsidTr="00811C8E">
        <w:tc>
          <w:tcPr>
            <w:tcW w:w="1984" w:type="dxa"/>
            <w:vMerge w:val="restart"/>
            <w:shd w:val="clear" w:color="auto" w:fill="auto"/>
          </w:tcPr>
          <w:p w:rsidR="009233F6" w:rsidRPr="009233F6" w:rsidRDefault="009233F6" w:rsidP="00811C8E">
            <w:pPr>
              <w:widowControl/>
              <w:jc w:val="center"/>
              <w:rPr>
                <w:rFonts w:ascii="標楷體" w:eastAsia="標楷體" w:hAnsi="標楷體" w:cs="Segoe UI"/>
                <w:kern w:val="0"/>
              </w:rPr>
            </w:pPr>
            <w:r w:rsidRPr="009233F6">
              <w:rPr>
                <w:rFonts w:ascii="標楷體" w:eastAsia="標楷體" w:hAnsi="標楷體" w:cs="Segoe UI" w:hint="eastAsia"/>
                <w:kern w:val="0"/>
              </w:rPr>
              <w:t>必修課程</w:t>
            </w:r>
          </w:p>
          <w:p w:rsidR="009233F6" w:rsidRPr="009233F6" w:rsidRDefault="009233F6" w:rsidP="00811C8E">
            <w:pPr>
              <w:widowControl/>
              <w:jc w:val="center"/>
              <w:rPr>
                <w:rFonts w:ascii="標楷體" w:eastAsia="標楷體" w:hAnsi="標楷體" w:cs="Segoe UI"/>
                <w:kern w:val="0"/>
              </w:rPr>
            </w:pPr>
            <w:r w:rsidRPr="009233F6">
              <w:rPr>
                <w:rFonts w:ascii="標楷體" w:eastAsia="標楷體" w:hAnsi="標楷體" w:cs="Segoe UI" w:hint="eastAsia"/>
                <w:kern w:val="0"/>
              </w:rPr>
              <w:t>(</w:t>
            </w:r>
            <w:r w:rsidRPr="009233F6">
              <w:rPr>
                <w:rFonts w:ascii="標楷體" w:eastAsia="標楷體" w:hAnsi="標楷體" w:cs="Segoe UI"/>
                <w:kern w:val="0"/>
              </w:rPr>
              <w:t>6</w:t>
            </w:r>
            <w:r w:rsidRPr="009233F6">
              <w:rPr>
                <w:rFonts w:ascii="標楷體" w:eastAsia="標楷體" w:hAnsi="標楷體" w:cs="Segoe UI" w:hint="eastAsia"/>
                <w:kern w:val="0"/>
              </w:rPr>
              <w:t>學分)</w:t>
            </w:r>
          </w:p>
        </w:tc>
        <w:tc>
          <w:tcPr>
            <w:tcW w:w="1656" w:type="dxa"/>
            <w:shd w:val="clear" w:color="auto" w:fill="auto"/>
          </w:tcPr>
          <w:p w:rsidR="009233F6" w:rsidRPr="009233F6" w:rsidRDefault="009233F6" w:rsidP="00811C8E">
            <w:pPr>
              <w:widowControl/>
              <w:jc w:val="center"/>
              <w:rPr>
                <w:rFonts w:ascii="標楷體" w:eastAsia="標楷體" w:hAnsi="標楷體" w:cs="Segoe UI"/>
                <w:kern w:val="0"/>
              </w:rPr>
            </w:pPr>
            <w:r w:rsidRPr="009233F6">
              <w:rPr>
                <w:rFonts w:ascii="標楷體" w:eastAsia="標楷體" w:hAnsi="標楷體" w:cs="Segoe UI" w:hint="eastAsia"/>
                <w:kern w:val="0"/>
              </w:rPr>
              <w:t>GE103</w:t>
            </w:r>
          </w:p>
        </w:tc>
        <w:tc>
          <w:tcPr>
            <w:tcW w:w="2313" w:type="dxa"/>
            <w:shd w:val="clear" w:color="auto" w:fill="auto"/>
          </w:tcPr>
          <w:p w:rsidR="009233F6" w:rsidRPr="009233F6" w:rsidRDefault="009233F6" w:rsidP="00811C8E">
            <w:pPr>
              <w:widowControl/>
              <w:jc w:val="center"/>
              <w:rPr>
                <w:rFonts w:ascii="Segoe UI" w:hAnsi="Segoe UI" w:cs="Segoe UI"/>
                <w:kern w:val="0"/>
              </w:rPr>
            </w:pPr>
            <w:r w:rsidRPr="009233F6">
              <w:rPr>
                <w:rFonts w:ascii="標楷體" w:eastAsia="標楷體" w:hAnsi="標楷體" w:cs="Segoe UI"/>
                <w:kern w:val="0"/>
              </w:rPr>
              <w:t>行政學與公共管理</w:t>
            </w:r>
          </w:p>
        </w:tc>
        <w:tc>
          <w:tcPr>
            <w:tcW w:w="1331" w:type="dxa"/>
            <w:shd w:val="clear" w:color="auto" w:fill="auto"/>
          </w:tcPr>
          <w:p w:rsidR="009233F6" w:rsidRPr="009233F6" w:rsidRDefault="009233F6" w:rsidP="00811C8E">
            <w:pPr>
              <w:widowControl/>
              <w:jc w:val="center"/>
              <w:rPr>
                <w:rFonts w:ascii="Segoe UI" w:hAnsi="Segoe UI" w:cs="Segoe UI"/>
                <w:kern w:val="0"/>
              </w:rPr>
            </w:pPr>
            <w:r w:rsidRPr="009233F6">
              <w:rPr>
                <w:kern w:val="0"/>
              </w:rPr>
              <w:t>2</w:t>
            </w:r>
          </w:p>
        </w:tc>
        <w:tc>
          <w:tcPr>
            <w:tcW w:w="2071" w:type="dxa"/>
            <w:shd w:val="clear" w:color="auto" w:fill="auto"/>
          </w:tcPr>
          <w:p w:rsidR="009233F6" w:rsidRPr="009233F6" w:rsidRDefault="009233F6" w:rsidP="00811C8E">
            <w:pPr>
              <w:widowControl/>
              <w:jc w:val="center"/>
              <w:rPr>
                <w:rFonts w:ascii="Segoe UI" w:hAnsi="Segoe UI" w:cs="Segoe UI"/>
                <w:kern w:val="0"/>
              </w:rPr>
            </w:pPr>
            <w:r w:rsidRPr="009233F6">
              <w:rPr>
                <w:rFonts w:ascii="標楷體" w:eastAsia="標楷體" w:hAnsi="標楷體" w:cs="Segoe UI"/>
                <w:kern w:val="0"/>
              </w:rPr>
              <w:t>通識教育中心</w:t>
            </w:r>
          </w:p>
        </w:tc>
      </w:tr>
      <w:tr w:rsidR="009233F6" w:rsidRPr="009233F6" w:rsidTr="00811C8E">
        <w:tc>
          <w:tcPr>
            <w:tcW w:w="1984" w:type="dxa"/>
            <w:vMerge/>
            <w:shd w:val="clear" w:color="auto" w:fill="auto"/>
          </w:tcPr>
          <w:p w:rsidR="009233F6" w:rsidRPr="009233F6" w:rsidRDefault="009233F6" w:rsidP="00811C8E">
            <w:pPr>
              <w:spacing w:line="276" w:lineRule="auto"/>
              <w:rPr>
                <w:rFonts w:eastAsia="標楷體"/>
                <w:b/>
                <w:szCs w:val="24"/>
              </w:rPr>
            </w:pPr>
          </w:p>
        </w:tc>
        <w:tc>
          <w:tcPr>
            <w:tcW w:w="1656" w:type="dxa"/>
            <w:shd w:val="clear" w:color="auto" w:fill="auto"/>
          </w:tcPr>
          <w:p w:rsidR="009233F6" w:rsidRPr="009233F6" w:rsidRDefault="009233F6" w:rsidP="00811C8E">
            <w:pPr>
              <w:widowControl/>
              <w:jc w:val="center"/>
              <w:rPr>
                <w:rFonts w:ascii="標楷體" w:eastAsia="標楷體" w:hAnsi="標楷體" w:cs="Segoe UI" w:hint="eastAsia"/>
                <w:kern w:val="0"/>
              </w:rPr>
            </w:pPr>
            <w:r w:rsidRPr="009233F6">
              <w:rPr>
                <w:rFonts w:ascii="標楷體" w:eastAsia="標楷體" w:hAnsi="標楷體" w:cs="Segoe UI" w:hint="eastAsia"/>
                <w:kern w:val="0"/>
              </w:rPr>
              <w:t>GE535</w:t>
            </w:r>
          </w:p>
        </w:tc>
        <w:tc>
          <w:tcPr>
            <w:tcW w:w="2313" w:type="dxa"/>
            <w:shd w:val="clear" w:color="auto" w:fill="auto"/>
          </w:tcPr>
          <w:p w:rsidR="009233F6" w:rsidRPr="009233F6" w:rsidRDefault="009233F6" w:rsidP="00811C8E">
            <w:pPr>
              <w:widowControl/>
              <w:jc w:val="center"/>
              <w:rPr>
                <w:rFonts w:ascii="標楷體" w:eastAsia="標楷體" w:hAnsi="標楷體" w:cs="Segoe UI"/>
                <w:kern w:val="0"/>
              </w:rPr>
            </w:pPr>
            <w:r w:rsidRPr="009233F6">
              <w:rPr>
                <w:rFonts w:ascii="標楷體" w:eastAsia="標楷體" w:hAnsi="標楷體" w:cs="Segoe UI"/>
                <w:kern w:val="0"/>
              </w:rPr>
              <w:t>政治學與當代生活</w:t>
            </w:r>
          </w:p>
        </w:tc>
        <w:tc>
          <w:tcPr>
            <w:tcW w:w="1331" w:type="dxa"/>
            <w:shd w:val="clear" w:color="auto" w:fill="auto"/>
          </w:tcPr>
          <w:p w:rsidR="009233F6" w:rsidRPr="009233F6" w:rsidRDefault="009233F6" w:rsidP="00811C8E">
            <w:pPr>
              <w:widowControl/>
              <w:jc w:val="center"/>
              <w:rPr>
                <w:kern w:val="0"/>
              </w:rPr>
            </w:pPr>
            <w:r w:rsidRPr="009233F6">
              <w:rPr>
                <w:kern w:val="0"/>
              </w:rPr>
              <w:t>2</w:t>
            </w:r>
          </w:p>
        </w:tc>
        <w:tc>
          <w:tcPr>
            <w:tcW w:w="2071" w:type="dxa"/>
            <w:shd w:val="clear" w:color="auto" w:fill="auto"/>
          </w:tcPr>
          <w:p w:rsidR="009233F6" w:rsidRPr="009233F6" w:rsidRDefault="009233F6" w:rsidP="00811C8E">
            <w:pPr>
              <w:widowControl/>
              <w:jc w:val="center"/>
              <w:rPr>
                <w:rFonts w:ascii="標楷體" w:eastAsia="標楷體" w:hAnsi="標楷體" w:cs="Segoe UI"/>
                <w:kern w:val="0"/>
              </w:rPr>
            </w:pPr>
            <w:r w:rsidRPr="009233F6">
              <w:rPr>
                <w:rFonts w:ascii="標楷體" w:eastAsia="標楷體" w:hAnsi="標楷體" w:cs="Segoe UI"/>
                <w:kern w:val="0"/>
              </w:rPr>
              <w:t>通識教育中心</w:t>
            </w:r>
          </w:p>
        </w:tc>
      </w:tr>
      <w:tr w:rsidR="009233F6" w:rsidRPr="009233F6" w:rsidTr="00811C8E">
        <w:tc>
          <w:tcPr>
            <w:tcW w:w="1984" w:type="dxa"/>
            <w:vMerge/>
            <w:shd w:val="clear" w:color="auto" w:fill="auto"/>
          </w:tcPr>
          <w:p w:rsidR="009233F6" w:rsidRPr="009233F6" w:rsidRDefault="009233F6" w:rsidP="00811C8E">
            <w:pPr>
              <w:spacing w:line="276" w:lineRule="auto"/>
              <w:rPr>
                <w:rFonts w:eastAsia="標楷體"/>
                <w:b/>
                <w:szCs w:val="24"/>
              </w:rPr>
            </w:pPr>
          </w:p>
        </w:tc>
        <w:tc>
          <w:tcPr>
            <w:tcW w:w="1656" w:type="dxa"/>
            <w:shd w:val="clear" w:color="auto" w:fill="auto"/>
          </w:tcPr>
          <w:p w:rsidR="009233F6" w:rsidRPr="009233F6" w:rsidRDefault="009233F6" w:rsidP="00811C8E">
            <w:pPr>
              <w:widowControl/>
              <w:jc w:val="center"/>
              <w:rPr>
                <w:rFonts w:ascii="標楷體" w:eastAsia="標楷體" w:hAnsi="標楷體" w:cs="Segoe UI"/>
                <w:kern w:val="0"/>
              </w:rPr>
            </w:pPr>
            <w:r w:rsidRPr="009233F6">
              <w:rPr>
                <w:rFonts w:ascii="標楷體" w:eastAsia="標楷體" w:hAnsi="標楷體" w:cs="Segoe UI" w:hint="eastAsia"/>
                <w:kern w:val="0"/>
              </w:rPr>
              <w:t>GE534</w:t>
            </w:r>
          </w:p>
        </w:tc>
        <w:tc>
          <w:tcPr>
            <w:tcW w:w="2313" w:type="dxa"/>
            <w:shd w:val="clear" w:color="auto" w:fill="auto"/>
          </w:tcPr>
          <w:p w:rsidR="009233F6" w:rsidRPr="009233F6" w:rsidRDefault="009233F6" w:rsidP="00811C8E">
            <w:pPr>
              <w:widowControl/>
              <w:jc w:val="center"/>
              <w:rPr>
                <w:rFonts w:ascii="Segoe UI" w:hAnsi="Segoe UI" w:cs="Segoe UI"/>
                <w:kern w:val="0"/>
              </w:rPr>
            </w:pPr>
            <w:r w:rsidRPr="009233F6">
              <w:rPr>
                <w:rFonts w:ascii="標楷體" w:eastAsia="標楷體" w:hAnsi="標楷體" w:cs="Segoe UI"/>
                <w:kern w:val="0"/>
              </w:rPr>
              <w:t>行政法與公共事務</w:t>
            </w:r>
          </w:p>
        </w:tc>
        <w:tc>
          <w:tcPr>
            <w:tcW w:w="1331" w:type="dxa"/>
            <w:shd w:val="clear" w:color="auto" w:fill="auto"/>
          </w:tcPr>
          <w:p w:rsidR="009233F6" w:rsidRPr="009233F6" w:rsidRDefault="009233F6" w:rsidP="00811C8E">
            <w:pPr>
              <w:widowControl/>
              <w:jc w:val="center"/>
              <w:rPr>
                <w:rFonts w:ascii="Segoe UI" w:hAnsi="Segoe UI" w:cs="Segoe UI"/>
                <w:kern w:val="0"/>
              </w:rPr>
            </w:pPr>
            <w:r w:rsidRPr="009233F6">
              <w:rPr>
                <w:kern w:val="0"/>
              </w:rPr>
              <w:t>2</w:t>
            </w:r>
          </w:p>
        </w:tc>
        <w:tc>
          <w:tcPr>
            <w:tcW w:w="2071" w:type="dxa"/>
            <w:shd w:val="clear" w:color="auto" w:fill="auto"/>
          </w:tcPr>
          <w:p w:rsidR="009233F6" w:rsidRPr="009233F6" w:rsidRDefault="009233F6" w:rsidP="00811C8E">
            <w:pPr>
              <w:widowControl/>
              <w:jc w:val="center"/>
              <w:rPr>
                <w:rFonts w:ascii="Segoe UI" w:hAnsi="Segoe UI" w:cs="Segoe UI"/>
                <w:kern w:val="0"/>
              </w:rPr>
            </w:pPr>
            <w:r w:rsidRPr="009233F6">
              <w:rPr>
                <w:rFonts w:ascii="標楷體" w:eastAsia="標楷體" w:hAnsi="標楷體" w:cs="Segoe UI"/>
                <w:kern w:val="0"/>
              </w:rPr>
              <w:t>通識教育中心</w:t>
            </w:r>
          </w:p>
        </w:tc>
      </w:tr>
      <w:tr w:rsidR="009233F6" w:rsidRPr="009233F6" w:rsidTr="00811C8E">
        <w:tc>
          <w:tcPr>
            <w:tcW w:w="1984" w:type="dxa"/>
            <w:vMerge w:val="restart"/>
            <w:shd w:val="clear" w:color="auto" w:fill="auto"/>
          </w:tcPr>
          <w:p w:rsidR="009233F6" w:rsidRPr="009233F6" w:rsidRDefault="009233F6" w:rsidP="00811C8E">
            <w:pPr>
              <w:widowControl/>
              <w:jc w:val="center"/>
              <w:rPr>
                <w:rFonts w:ascii="標楷體" w:eastAsia="標楷體" w:hAnsi="標楷體" w:cs="Segoe UI"/>
                <w:kern w:val="0"/>
              </w:rPr>
            </w:pPr>
            <w:r w:rsidRPr="009233F6">
              <w:rPr>
                <w:rFonts w:ascii="標楷體" w:eastAsia="標楷體" w:hAnsi="標楷體" w:cs="Segoe UI" w:hint="eastAsia"/>
                <w:kern w:val="0"/>
              </w:rPr>
              <w:t>選修課程</w:t>
            </w:r>
          </w:p>
          <w:p w:rsidR="009233F6" w:rsidRPr="009233F6" w:rsidRDefault="009233F6" w:rsidP="00811C8E">
            <w:pPr>
              <w:widowControl/>
              <w:jc w:val="center"/>
              <w:rPr>
                <w:rFonts w:ascii="標楷體" w:eastAsia="標楷體" w:hAnsi="標楷體" w:cs="Segoe UI"/>
                <w:kern w:val="0"/>
              </w:rPr>
            </w:pPr>
            <w:r w:rsidRPr="009233F6">
              <w:rPr>
                <w:rFonts w:ascii="標楷體" w:eastAsia="標楷體" w:hAnsi="標楷體" w:cs="Segoe UI" w:hint="eastAsia"/>
                <w:kern w:val="0"/>
              </w:rPr>
              <w:t>(至少選6學分)</w:t>
            </w:r>
          </w:p>
        </w:tc>
        <w:tc>
          <w:tcPr>
            <w:tcW w:w="1656" w:type="dxa"/>
            <w:shd w:val="clear" w:color="auto" w:fill="auto"/>
          </w:tcPr>
          <w:p w:rsidR="009233F6" w:rsidRPr="009233F6" w:rsidRDefault="009233F6" w:rsidP="00811C8E">
            <w:pPr>
              <w:widowControl/>
              <w:jc w:val="center"/>
              <w:rPr>
                <w:rFonts w:ascii="標楷體" w:eastAsia="標楷體" w:hAnsi="標楷體" w:cs="Segoe UI"/>
                <w:kern w:val="0"/>
              </w:rPr>
            </w:pPr>
            <w:r w:rsidRPr="009233F6">
              <w:rPr>
                <w:rFonts w:ascii="標楷體" w:eastAsia="標楷體" w:hAnsi="標楷體" w:cs="Segoe UI" w:hint="eastAsia"/>
                <w:kern w:val="0"/>
              </w:rPr>
              <w:t>GE532</w:t>
            </w:r>
          </w:p>
        </w:tc>
        <w:tc>
          <w:tcPr>
            <w:tcW w:w="2313" w:type="dxa"/>
            <w:shd w:val="clear" w:color="auto" w:fill="auto"/>
          </w:tcPr>
          <w:p w:rsidR="009233F6" w:rsidRPr="009233F6" w:rsidRDefault="009233F6" w:rsidP="00811C8E">
            <w:pPr>
              <w:widowControl/>
              <w:jc w:val="center"/>
              <w:rPr>
                <w:rFonts w:ascii="Segoe UI" w:hAnsi="Segoe UI" w:cs="Segoe UI"/>
                <w:kern w:val="0"/>
              </w:rPr>
            </w:pPr>
            <w:r w:rsidRPr="009233F6">
              <w:rPr>
                <w:rFonts w:ascii="標楷體" w:eastAsia="標楷體" w:hAnsi="標楷體" w:cs="Segoe UI"/>
                <w:kern w:val="0"/>
              </w:rPr>
              <w:t>憲法與政府</w:t>
            </w:r>
          </w:p>
        </w:tc>
        <w:tc>
          <w:tcPr>
            <w:tcW w:w="1331" w:type="dxa"/>
            <w:shd w:val="clear" w:color="auto" w:fill="auto"/>
          </w:tcPr>
          <w:p w:rsidR="009233F6" w:rsidRPr="009233F6" w:rsidRDefault="009233F6" w:rsidP="00811C8E">
            <w:pPr>
              <w:widowControl/>
              <w:jc w:val="center"/>
              <w:rPr>
                <w:rFonts w:ascii="Segoe UI" w:hAnsi="Segoe UI" w:cs="Segoe UI"/>
                <w:kern w:val="0"/>
              </w:rPr>
            </w:pPr>
            <w:r w:rsidRPr="009233F6">
              <w:rPr>
                <w:kern w:val="0"/>
              </w:rPr>
              <w:t>2</w:t>
            </w:r>
          </w:p>
        </w:tc>
        <w:tc>
          <w:tcPr>
            <w:tcW w:w="2071" w:type="dxa"/>
            <w:shd w:val="clear" w:color="auto" w:fill="auto"/>
          </w:tcPr>
          <w:p w:rsidR="009233F6" w:rsidRPr="009233F6" w:rsidRDefault="009233F6" w:rsidP="00811C8E">
            <w:pPr>
              <w:widowControl/>
              <w:jc w:val="center"/>
              <w:rPr>
                <w:rFonts w:ascii="Segoe UI" w:hAnsi="Segoe UI" w:cs="Segoe UI"/>
                <w:kern w:val="0"/>
              </w:rPr>
            </w:pPr>
            <w:r w:rsidRPr="009233F6">
              <w:rPr>
                <w:rFonts w:ascii="標楷體" w:eastAsia="標楷體" w:hAnsi="標楷體" w:cs="Segoe UI"/>
                <w:kern w:val="0"/>
              </w:rPr>
              <w:t>通識教育中心</w:t>
            </w:r>
          </w:p>
        </w:tc>
      </w:tr>
      <w:tr w:rsidR="009233F6" w:rsidRPr="009233F6" w:rsidTr="00811C8E">
        <w:tc>
          <w:tcPr>
            <w:tcW w:w="1984" w:type="dxa"/>
            <w:vMerge/>
            <w:shd w:val="clear" w:color="auto" w:fill="auto"/>
          </w:tcPr>
          <w:p w:rsidR="009233F6" w:rsidRPr="009233F6" w:rsidRDefault="009233F6" w:rsidP="00811C8E">
            <w:pPr>
              <w:spacing w:line="276" w:lineRule="auto"/>
              <w:rPr>
                <w:rFonts w:eastAsia="標楷體"/>
                <w:b/>
                <w:szCs w:val="24"/>
              </w:rPr>
            </w:pPr>
          </w:p>
        </w:tc>
        <w:tc>
          <w:tcPr>
            <w:tcW w:w="1656" w:type="dxa"/>
            <w:shd w:val="clear" w:color="auto" w:fill="auto"/>
          </w:tcPr>
          <w:p w:rsidR="009233F6" w:rsidRPr="009233F6" w:rsidRDefault="009233F6" w:rsidP="00811C8E">
            <w:pPr>
              <w:widowControl/>
              <w:jc w:val="center"/>
              <w:rPr>
                <w:rFonts w:ascii="標楷體" w:eastAsia="標楷體" w:hAnsi="標楷體" w:cs="Segoe UI"/>
                <w:kern w:val="0"/>
              </w:rPr>
            </w:pPr>
            <w:r w:rsidRPr="009233F6">
              <w:rPr>
                <w:rFonts w:ascii="標楷體" w:eastAsia="標楷體" w:hAnsi="標楷體" w:cs="Segoe UI" w:hint="eastAsia"/>
                <w:kern w:val="0"/>
              </w:rPr>
              <w:t>GE518</w:t>
            </w:r>
          </w:p>
          <w:p w:rsidR="009233F6" w:rsidRPr="009233F6" w:rsidRDefault="009233F6" w:rsidP="00811C8E">
            <w:pPr>
              <w:widowControl/>
              <w:jc w:val="center"/>
              <w:rPr>
                <w:rFonts w:ascii="標楷體" w:eastAsia="標楷體" w:hAnsi="標楷體" w:cs="Segoe UI"/>
                <w:kern w:val="0"/>
              </w:rPr>
            </w:pPr>
            <w:r w:rsidRPr="009233F6">
              <w:rPr>
                <w:rFonts w:ascii="標楷體" w:eastAsia="標楷體" w:hAnsi="標楷體" w:cs="Segoe UI" w:hint="eastAsia"/>
                <w:kern w:val="0"/>
              </w:rPr>
              <w:t>EF110</w:t>
            </w:r>
          </w:p>
        </w:tc>
        <w:tc>
          <w:tcPr>
            <w:tcW w:w="2313" w:type="dxa"/>
            <w:shd w:val="clear" w:color="auto" w:fill="auto"/>
          </w:tcPr>
          <w:p w:rsidR="009233F6" w:rsidRPr="009233F6" w:rsidRDefault="009233F6" w:rsidP="00811C8E">
            <w:pPr>
              <w:widowControl/>
              <w:jc w:val="center"/>
              <w:rPr>
                <w:rFonts w:ascii="Segoe UI" w:hAnsi="Segoe UI" w:cs="Segoe UI"/>
                <w:kern w:val="0"/>
              </w:rPr>
            </w:pPr>
            <w:r w:rsidRPr="009233F6">
              <w:rPr>
                <w:rFonts w:ascii="標楷體" w:eastAsia="標楷體" w:hAnsi="標楷體" w:cs="Segoe UI"/>
                <w:kern w:val="0"/>
              </w:rPr>
              <w:t>法學緒論</w:t>
            </w:r>
          </w:p>
        </w:tc>
        <w:tc>
          <w:tcPr>
            <w:tcW w:w="1331" w:type="dxa"/>
            <w:shd w:val="clear" w:color="auto" w:fill="auto"/>
          </w:tcPr>
          <w:p w:rsidR="009233F6" w:rsidRPr="009233F6" w:rsidRDefault="009233F6" w:rsidP="00811C8E">
            <w:pPr>
              <w:widowControl/>
              <w:jc w:val="center"/>
              <w:rPr>
                <w:rFonts w:ascii="Segoe UI" w:hAnsi="Segoe UI" w:cs="Segoe UI"/>
                <w:kern w:val="0"/>
              </w:rPr>
            </w:pPr>
            <w:r w:rsidRPr="009233F6">
              <w:rPr>
                <w:kern w:val="0"/>
              </w:rPr>
              <w:t>2</w:t>
            </w:r>
          </w:p>
        </w:tc>
        <w:tc>
          <w:tcPr>
            <w:tcW w:w="2071" w:type="dxa"/>
            <w:shd w:val="clear" w:color="auto" w:fill="auto"/>
          </w:tcPr>
          <w:p w:rsidR="009233F6" w:rsidRPr="009233F6" w:rsidRDefault="009233F6" w:rsidP="00811C8E">
            <w:pPr>
              <w:widowControl/>
              <w:jc w:val="center"/>
              <w:rPr>
                <w:rFonts w:ascii="標楷體" w:eastAsia="標楷體" w:hAnsi="標楷體" w:cs="Segoe UI"/>
                <w:kern w:val="0"/>
              </w:rPr>
            </w:pPr>
            <w:r w:rsidRPr="009233F6">
              <w:rPr>
                <w:rFonts w:ascii="標楷體" w:eastAsia="標楷體" w:hAnsi="標楷體" w:cs="Segoe UI"/>
                <w:kern w:val="0"/>
              </w:rPr>
              <w:t>通識教育中心</w:t>
            </w:r>
          </w:p>
          <w:p w:rsidR="009233F6" w:rsidRPr="009233F6" w:rsidRDefault="009233F6" w:rsidP="00811C8E">
            <w:pPr>
              <w:widowControl/>
              <w:jc w:val="center"/>
              <w:rPr>
                <w:rFonts w:ascii="Segoe UI" w:hAnsi="Segoe UI" w:cs="Segoe UI"/>
                <w:kern w:val="0"/>
              </w:rPr>
            </w:pPr>
            <w:r w:rsidRPr="009233F6">
              <w:rPr>
                <w:rFonts w:ascii="標楷體" w:eastAsia="標楷體" w:hAnsi="標楷體" w:cs="Segoe UI" w:hint="eastAsia"/>
                <w:kern w:val="0"/>
              </w:rPr>
              <w:t>財法系</w:t>
            </w:r>
          </w:p>
        </w:tc>
      </w:tr>
      <w:tr w:rsidR="009233F6" w:rsidRPr="009233F6" w:rsidTr="00811C8E">
        <w:tc>
          <w:tcPr>
            <w:tcW w:w="1984" w:type="dxa"/>
            <w:vMerge/>
            <w:shd w:val="clear" w:color="auto" w:fill="auto"/>
          </w:tcPr>
          <w:p w:rsidR="009233F6" w:rsidRPr="009233F6" w:rsidRDefault="009233F6" w:rsidP="00811C8E">
            <w:pPr>
              <w:spacing w:line="276" w:lineRule="auto"/>
              <w:rPr>
                <w:rFonts w:eastAsia="標楷體"/>
                <w:b/>
                <w:szCs w:val="24"/>
              </w:rPr>
            </w:pPr>
          </w:p>
        </w:tc>
        <w:tc>
          <w:tcPr>
            <w:tcW w:w="1656" w:type="dxa"/>
            <w:shd w:val="clear" w:color="auto" w:fill="auto"/>
          </w:tcPr>
          <w:p w:rsidR="009233F6" w:rsidRPr="009233F6" w:rsidRDefault="009233F6" w:rsidP="00811C8E">
            <w:pPr>
              <w:widowControl/>
              <w:jc w:val="center"/>
              <w:rPr>
                <w:rFonts w:ascii="標楷體" w:eastAsia="標楷體" w:hAnsi="標楷體" w:cs="Segoe UI" w:hint="eastAsia"/>
                <w:kern w:val="0"/>
              </w:rPr>
            </w:pPr>
            <w:r w:rsidRPr="009233F6">
              <w:rPr>
                <w:rFonts w:ascii="標楷體" w:eastAsia="標楷體" w:hAnsi="標楷體" w:cs="Segoe UI" w:hint="eastAsia"/>
                <w:kern w:val="0"/>
              </w:rPr>
              <w:t>GE533</w:t>
            </w:r>
          </w:p>
        </w:tc>
        <w:tc>
          <w:tcPr>
            <w:tcW w:w="2313" w:type="dxa"/>
            <w:shd w:val="clear" w:color="auto" w:fill="auto"/>
          </w:tcPr>
          <w:p w:rsidR="009233F6" w:rsidRPr="009233F6" w:rsidRDefault="009233F6" w:rsidP="00811C8E">
            <w:pPr>
              <w:widowControl/>
              <w:jc w:val="center"/>
              <w:rPr>
                <w:rFonts w:ascii="標楷體" w:eastAsia="標楷體" w:hAnsi="標楷體" w:cs="Segoe UI"/>
                <w:kern w:val="0"/>
              </w:rPr>
            </w:pPr>
            <w:r w:rsidRPr="009233F6">
              <w:rPr>
                <w:rFonts w:ascii="標楷體" w:eastAsia="標楷體" w:hAnsi="標楷體" w:cs="Segoe UI"/>
                <w:kern w:val="0"/>
              </w:rPr>
              <w:t>民刑法與公民社會</w:t>
            </w:r>
          </w:p>
        </w:tc>
        <w:tc>
          <w:tcPr>
            <w:tcW w:w="1331" w:type="dxa"/>
            <w:shd w:val="clear" w:color="auto" w:fill="auto"/>
          </w:tcPr>
          <w:p w:rsidR="009233F6" w:rsidRPr="009233F6" w:rsidRDefault="009233F6" w:rsidP="00811C8E">
            <w:pPr>
              <w:widowControl/>
              <w:jc w:val="center"/>
              <w:rPr>
                <w:kern w:val="0"/>
              </w:rPr>
            </w:pPr>
            <w:r w:rsidRPr="009233F6">
              <w:rPr>
                <w:kern w:val="0"/>
              </w:rPr>
              <w:t>2</w:t>
            </w:r>
          </w:p>
        </w:tc>
        <w:tc>
          <w:tcPr>
            <w:tcW w:w="2071" w:type="dxa"/>
            <w:shd w:val="clear" w:color="auto" w:fill="auto"/>
          </w:tcPr>
          <w:p w:rsidR="009233F6" w:rsidRPr="009233F6" w:rsidRDefault="009233F6" w:rsidP="00811C8E">
            <w:pPr>
              <w:widowControl/>
              <w:jc w:val="center"/>
              <w:rPr>
                <w:rFonts w:ascii="標楷體" w:eastAsia="標楷體" w:hAnsi="標楷體" w:cs="Segoe UI"/>
                <w:kern w:val="0"/>
              </w:rPr>
            </w:pPr>
            <w:r w:rsidRPr="009233F6">
              <w:rPr>
                <w:rFonts w:ascii="標楷體" w:eastAsia="標楷體" w:hAnsi="標楷體" w:cs="Segoe UI"/>
                <w:kern w:val="0"/>
              </w:rPr>
              <w:t>通識教育中心</w:t>
            </w:r>
          </w:p>
        </w:tc>
      </w:tr>
      <w:tr w:rsidR="009233F6" w:rsidRPr="009233F6" w:rsidTr="00811C8E">
        <w:tc>
          <w:tcPr>
            <w:tcW w:w="1984" w:type="dxa"/>
            <w:vMerge/>
            <w:shd w:val="clear" w:color="auto" w:fill="auto"/>
          </w:tcPr>
          <w:p w:rsidR="009233F6" w:rsidRPr="009233F6" w:rsidRDefault="009233F6" w:rsidP="00811C8E">
            <w:pPr>
              <w:spacing w:line="276" w:lineRule="auto"/>
              <w:rPr>
                <w:rFonts w:eastAsia="標楷體"/>
                <w:b/>
                <w:szCs w:val="24"/>
              </w:rPr>
            </w:pPr>
          </w:p>
        </w:tc>
        <w:tc>
          <w:tcPr>
            <w:tcW w:w="1656" w:type="dxa"/>
            <w:shd w:val="clear" w:color="auto" w:fill="auto"/>
          </w:tcPr>
          <w:p w:rsidR="009233F6" w:rsidRPr="009233F6" w:rsidRDefault="009233F6" w:rsidP="00811C8E">
            <w:pPr>
              <w:widowControl/>
              <w:jc w:val="center"/>
              <w:rPr>
                <w:rFonts w:ascii="標楷體" w:eastAsia="標楷體" w:hAnsi="標楷體" w:cs="Segoe UI"/>
                <w:kern w:val="0"/>
              </w:rPr>
            </w:pPr>
            <w:r w:rsidRPr="009233F6">
              <w:rPr>
                <w:rFonts w:ascii="標楷體" w:eastAsia="標楷體" w:hAnsi="標楷體" w:cs="Segoe UI" w:hint="eastAsia"/>
                <w:kern w:val="0"/>
              </w:rPr>
              <w:t>GQ393</w:t>
            </w:r>
          </w:p>
        </w:tc>
        <w:tc>
          <w:tcPr>
            <w:tcW w:w="2313" w:type="dxa"/>
            <w:shd w:val="clear" w:color="auto" w:fill="auto"/>
          </w:tcPr>
          <w:p w:rsidR="009233F6" w:rsidRPr="009233F6" w:rsidRDefault="009233F6" w:rsidP="00811C8E">
            <w:pPr>
              <w:widowControl/>
              <w:jc w:val="center"/>
              <w:rPr>
                <w:rFonts w:ascii="標楷體" w:eastAsia="標楷體" w:hAnsi="標楷體" w:cs="Segoe UI"/>
                <w:kern w:val="0"/>
              </w:rPr>
            </w:pPr>
            <w:r w:rsidRPr="009233F6">
              <w:rPr>
                <w:rFonts w:ascii="標楷體" w:eastAsia="標楷體" w:hAnsi="標楷體" w:cs="Segoe UI" w:hint="eastAsia"/>
                <w:kern w:val="0"/>
              </w:rPr>
              <w:t>法律與現代生活</w:t>
            </w:r>
          </w:p>
        </w:tc>
        <w:tc>
          <w:tcPr>
            <w:tcW w:w="1331" w:type="dxa"/>
            <w:shd w:val="clear" w:color="auto" w:fill="auto"/>
          </w:tcPr>
          <w:p w:rsidR="009233F6" w:rsidRPr="009233F6" w:rsidRDefault="009233F6" w:rsidP="00811C8E">
            <w:pPr>
              <w:widowControl/>
              <w:jc w:val="center"/>
              <w:rPr>
                <w:rFonts w:ascii="標楷體" w:eastAsia="標楷體" w:hAnsi="標楷體" w:cs="Segoe UI"/>
                <w:kern w:val="0"/>
              </w:rPr>
            </w:pPr>
            <w:r w:rsidRPr="009233F6">
              <w:rPr>
                <w:rFonts w:ascii="標楷體" w:eastAsia="標楷體" w:hAnsi="標楷體" w:cs="Segoe UI" w:hint="eastAsia"/>
                <w:kern w:val="0"/>
              </w:rPr>
              <w:t>2</w:t>
            </w:r>
          </w:p>
        </w:tc>
        <w:tc>
          <w:tcPr>
            <w:tcW w:w="2071" w:type="dxa"/>
            <w:shd w:val="clear" w:color="auto" w:fill="auto"/>
          </w:tcPr>
          <w:p w:rsidR="009233F6" w:rsidRPr="009233F6" w:rsidRDefault="009233F6" w:rsidP="00811C8E">
            <w:pPr>
              <w:widowControl/>
              <w:jc w:val="center"/>
              <w:rPr>
                <w:rFonts w:ascii="標楷體" w:eastAsia="標楷體" w:hAnsi="標楷體" w:cs="Segoe UI"/>
                <w:kern w:val="0"/>
              </w:rPr>
            </w:pPr>
            <w:r w:rsidRPr="009233F6">
              <w:rPr>
                <w:rFonts w:ascii="標楷體" w:eastAsia="標楷體" w:hAnsi="標楷體" w:cs="Segoe UI"/>
                <w:kern w:val="0"/>
              </w:rPr>
              <w:t>通識教育中心</w:t>
            </w:r>
          </w:p>
        </w:tc>
      </w:tr>
      <w:tr w:rsidR="009233F6" w:rsidRPr="009233F6" w:rsidTr="00811C8E">
        <w:tc>
          <w:tcPr>
            <w:tcW w:w="1984" w:type="dxa"/>
            <w:vMerge/>
            <w:shd w:val="clear" w:color="auto" w:fill="auto"/>
          </w:tcPr>
          <w:p w:rsidR="009233F6" w:rsidRPr="009233F6" w:rsidRDefault="009233F6" w:rsidP="00811C8E">
            <w:pPr>
              <w:spacing w:line="276" w:lineRule="auto"/>
              <w:rPr>
                <w:rFonts w:eastAsia="標楷體"/>
                <w:b/>
                <w:szCs w:val="24"/>
              </w:rPr>
            </w:pPr>
          </w:p>
        </w:tc>
        <w:tc>
          <w:tcPr>
            <w:tcW w:w="1656" w:type="dxa"/>
            <w:shd w:val="clear" w:color="auto" w:fill="auto"/>
          </w:tcPr>
          <w:p w:rsidR="009233F6" w:rsidRPr="009233F6" w:rsidRDefault="009233F6" w:rsidP="00811C8E">
            <w:pPr>
              <w:widowControl/>
              <w:jc w:val="center"/>
              <w:rPr>
                <w:rFonts w:ascii="標楷體" w:eastAsia="標楷體" w:hAnsi="標楷體" w:cs="Segoe UI"/>
                <w:kern w:val="0"/>
              </w:rPr>
            </w:pPr>
            <w:r w:rsidRPr="009233F6">
              <w:rPr>
                <w:rFonts w:ascii="標楷體" w:eastAsia="標楷體" w:hAnsi="標楷體" w:cs="Segoe UI" w:hint="eastAsia"/>
                <w:kern w:val="0"/>
              </w:rPr>
              <w:t>GQ392</w:t>
            </w:r>
          </w:p>
        </w:tc>
        <w:tc>
          <w:tcPr>
            <w:tcW w:w="2313" w:type="dxa"/>
            <w:shd w:val="clear" w:color="auto" w:fill="auto"/>
          </w:tcPr>
          <w:p w:rsidR="009233F6" w:rsidRPr="009233F6" w:rsidRDefault="009233F6" w:rsidP="00811C8E">
            <w:pPr>
              <w:widowControl/>
              <w:jc w:val="center"/>
              <w:rPr>
                <w:rFonts w:ascii="標楷體" w:eastAsia="標楷體" w:hAnsi="標楷體" w:cs="Segoe UI"/>
                <w:kern w:val="0"/>
              </w:rPr>
            </w:pPr>
            <w:r w:rsidRPr="009233F6">
              <w:rPr>
                <w:rFonts w:ascii="標楷體" w:eastAsia="標楷體" w:hAnsi="標楷體" w:cs="Segoe UI" w:hint="eastAsia"/>
                <w:kern w:val="0"/>
              </w:rPr>
              <w:t>台灣政治與民主</w:t>
            </w:r>
          </w:p>
        </w:tc>
        <w:tc>
          <w:tcPr>
            <w:tcW w:w="1331" w:type="dxa"/>
            <w:shd w:val="clear" w:color="auto" w:fill="auto"/>
          </w:tcPr>
          <w:p w:rsidR="009233F6" w:rsidRPr="009233F6" w:rsidRDefault="009233F6" w:rsidP="00811C8E">
            <w:pPr>
              <w:widowControl/>
              <w:jc w:val="center"/>
              <w:rPr>
                <w:rFonts w:ascii="標楷體" w:eastAsia="標楷體" w:hAnsi="標楷體" w:cs="Segoe UI"/>
                <w:kern w:val="0"/>
              </w:rPr>
            </w:pPr>
            <w:r w:rsidRPr="009233F6">
              <w:rPr>
                <w:rFonts w:ascii="標楷體" w:eastAsia="標楷體" w:hAnsi="標楷體" w:cs="Segoe UI" w:hint="eastAsia"/>
                <w:kern w:val="0"/>
              </w:rPr>
              <w:t>2</w:t>
            </w:r>
          </w:p>
        </w:tc>
        <w:tc>
          <w:tcPr>
            <w:tcW w:w="2071" w:type="dxa"/>
            <w:shd w:val="clear" w:color="auto" w:fill="auto"/>
          </w:tcPr>
          <w:p w:rsidR="009233F6" w:rsidRPr="009233F6" w:rsidRDefault="009233F6" w:rsidP="00811C8E">
            <w:pPr>
              <w:widowControl/>
              <w:jc w:val="center"/>
              <w:rPr>
                <w:rFonts w:ascii="標楷體" w:eastAsia="標楷體" w:hAnsi="標楷體" w:cs="Segoe UI"/>
                <w:kern w:val="0"/>
              </w:rPr>
            </w:pPr>
            <w:r w:rsidRPr="009233F6">
              <w:rPr>
                <w:rFonts w:ascii="標楷體" w:eastAsia="標楷體" w:hAnsi="標楷體" w:cs="Segoe UI"/>
                <w:kern w:val="0"/>
              </w:rPr>
              <w:t>通識教育中心</w:t>
            </w:r>
          </w:p>
        </w:tc>
      </w:tr>
      <w:tr w:rsidR="009233F6" w:rsidRPr="009233F6" w:rsidTr="0074068D">
        <w:tc>
          <w:tcPr>
            <w:tcW w:w="5950" w:type="dxa"/>
            <w:gridSpan w:val="3"/>
            <w:shd w:val="clear" w:color="auto" w:fill="auto"/>
          </w:tcPr>
          <w:p w:rsidR="009233F6" w:rsidRPr="009233F6" w:rsidRDefault="009233F6" w:rsidP="00811C8E">
            <w:pPr>
              <w:widowControl/>
              <w:jc w:val="center"/>
              <w:rPr>
                <w:rFonts w:ascii="標楷體" w:eastAsia="標楷體" w:hAnsi="標楷體" w:cs="Segoe UI" w:hint="eastAsia"/>
                <w:kern w:val="0"/>
              </w:rPr>
            </w:pPr>
            <w:r>
              <w:rPr>
                <w:rFonts w:ascii="標楷體" w:eastAsia="標楷體" w:hAnsi="標楷體" w:cs="Segoe UI" w:hint="eastAsia"/>
                <w:kern w:val="0"/>
              </w:rPr>
              <w:t>總學分數</w:t>
            </w:r>
          </w:p>
        </w:tc>
        <w:tc>
          <w:tcPr>
            <w:tcW w:w="1331" w:type="dxa"/>
            <w:shd w:val="clear" w:color="auto" w:fill="auto"/>
          </w:tcPr>
          <w:p w:rsidR="009233F6" w:rsidRPr="009233F6" w:rsidRDefault="009233F6" w:rsidP="00811C8E">
            <w:pPr>
              <w:widowControl/>
              <w:jc w:val="center"/>
              <w:rPr>
                <w:rFonts w:ascii="標楷體" w:eastAsia="標楷體" w:hAnsi="標楷體" w:cs="Segoe UI" w:hint="eastAsia"/>
                <w:kern w:val="0"/>
              </w:rPr>
            </w:pPr>
            <w:r w:rsidRPr="009233F6">
              <w:rPr>
                <w:rFonts w:ascii="標楷體" w:eastAsia="標楷體" w:hAnsi="標楷體" w:cs="Segoe UI" w:hint="eastAsia"/>
                <w:kern w:val="0"/>
              </w:rPr>
              <w:t>12</w:t>
            </w:r>
          </w:p>
        </w:tc>
        <w:tc>
          <w:tcPr>
            <w:tcW w:w="2071" w:type="dxa"/>
            <w:shd w:val="clear" w:color="auto" w:fill="auto"/>
          </w:tcPr>
          <w:p w:rsidR="009233F6" w:rsidRPr="009233F6" w:rsidRDefault="009233F6" w:rsidP="00811C8E">
            <w:pPr>
              <w:widowControl/>
              <w:jc w:val="center"/>
              <w:rPr>
                <w:rFonts w:ascii="標楷體" w:eastAsia="標楷體" w:hAnsi="標楷體" w:cs="Segoe UI"/>
                <w:kern w:val="0"/>
              </w:rPr>
            </w:pPr>
          </w:p>
        </w:tc>
      </w:tr>
    </w:tbl>
    <w:p w:rsidR="009233F6" w:rsidRDefault="009233F6" w:rsidP="009233F6">
      <w:pPr>
        <w:rPr>
          <w:rFonts w:eastAsia="標楷體"/>
        </w:rPr>
      </w:pPr>
    </w:p>
    <w:p w:rsidR="009233F6" w:rsidRDefault="009233F6" w:rsidP="009233F6">
      <w:pPr>
        <w:rPr>
          <w:rFonts w:eastAsia="標楷體"/>
        </w:rPr>
      </w:pPr>
    </w:p>
    <w:p w:rsidR="009233F6" w:rsidRPr="009233F6" w:rsidRDefault="009233F6" w:rsidP="009233F6">
      <w:pPr>
        <w:rPr>
          <w:rFonts w:eastAsia="標楷體" w:hint="eastAsia"/>
        </w:rPr>
      </w:pPr>
      <w:bookmarkStart w:id="1" w:name="_GoBack"/>
      <w:bookmarkEnd w:id="1"/>
    </w:p>
    <w:p w:rsidR="009233F6" w:rsidRPr="009233F6" w:rsidRDefault="009233F6" w:rsidP="009233F6">
      <w:pPr>
        <w:rPr>
          <w:rFonts w:eastAsia="標楷體" w:hint="eastAsia"/>
        </w:rPr>
      </w:pPr>
    </w:p>
    <w:p w:rsidR="009233F6" w:rsidRPr="009233F6" w:rsidRDefault="009233F6" w:rsidP="009233F6">
      <w:pPr>
        <w:ind w:left="426"/>
        <w:rPr>
          <w:rFonts w:eastAsia="標楷體" w:hint="eastAsia"/>
        </w:rPr>
      </w:pPr>
      <w:r w:rsidRPr="009233F6">
        <w:rPr>
          <w:rFonts w:eastAsia="標楷體" w:hint="eastAsia"/>
        </w:rPr>
        <w:lastRenderedPageBreak/>
        <w:t>備註：</w:t>
      </w:r>
    </w:p>
    <w:p w:rsidR="009233F6" w:rsidRPr="009233F6" w:rsidRDefault="009233F6" w:rsidP="009233F6">
      <w:pPr>
        <w:numPr>
          <w:ilvl w:val="0"/>
          <w:numId w:val="6"/>
        </w:numPr>
        <w:rPr>
          <w:rFonts w:eastAsia="標楷體" w:hint="eastAsia"/>
        </w:rPr>
      </w:pPr>
      <w:r w:rsidRPr="009233F6">
        <w:rPr>
          <w:rFonts w:eastAsia="標楷體" w:hint="eastAsia"/>
        </w:rPr>
        <w:t>修習過「民法」（或民法概要、民法總則）與「刑法」（或刑法概要、刑法總則）各</w:t>
      </w:r>
      <w:r w:rsidRPr="009233F6">
        <w:rPr>
          <w:rFonts w:eastAsia="標楷體" w:hint="eastAsia"/>
        </w:rPr>
        <w:t>2</w:t>
      </w:r>
      <w:r w:rsidRPr="009233F6">
        <w:rPr>
          <w:rFonts w:eastAsia="標楷體" w:hint="eastAsia"/>
        </w:rPr>
        <w:t>學分以上，可抵免「民刑法與公民社會」。</w:t>
      </w:r>
    </w:p>
    <w:p w:rsidR="009233F6" w:rsidRPr="009233F6" w:rsidRDefault="009233F6" w:rsidP="009233F6">
      <w:pPr>
        <w:numPr>
          <w:ilvl w:val="0"/>
          <w:numId w:val="6"/>
        </w:numPr>
        <w:rPr>
          <w:rFonts w:eastAsia="標楷體" w:hint="eastAsia"/>
        </w:rPr>
      </w:pPr>
      <w:r w:rsidRPr="009233F6">
        <w:rPr>
          <w:rFonts w:eastAsia="標楷體" w:hint="eastAsia"/>
        </w:rPr>
        <w:t>修習過「中華民國憲法」（或「憲法」）可抵免「憲法與政府」。</w:t>
      </w:r>
    </w:p>
    <w:p w:rsidR="009233F6" w:rsidRPr="009233F6" w:rsidRDefault="009233F6" w:rsidP="009233F6">
      <w:pPr>
        <w:numPr>
          <w:ilvl w:val="0"/>
          <w:numId w:val="6"/>
        </w:numPr>
        <w:rPr>
          <w:rFonts w:eastAsia="標楷體" w:hint="eastAsia"/>
        </w:rPr>
      </w:pPr>
      <w:r w:rsidRPr="009233F6">
        <w:rPr>
          <w:rFonts w:eastAsia="標楷體" w:hint="eastAsia"/>
        </w:rPr>
        <w:t>修習過「行政法」可抵免「行政法與公共事務」。</w:t>
      </w:r>
    </w:p>
    <w:p w:rsidR="009233F6" w:rsidRPr="009233F6" w:rsidRDefault="009233F6" w:rsidP="009233F6">
      <w:pPr>
        <w:numPr>
          <w:ilvl w:val="0"/>
          <w:numId w:val="6"/>
        </w:numPr>
        <w:rPr>
          <w:rFonts w:eastAsia="標楷體"/>
        </w:rPr>
      </w:pPr>
      <w:r w:rsidRPr="009233F6">
        <w:rPr>
          <w:rFonts w:eastAsia="標楷體" w:hint="eastAsia"/>
        </w:rPr>
        <w:t>修習過「行政學」可抵免「行政學與公共管理」。</w:t>
      </w:r>
    </w:p>
    <w:p w:rsidR="009233F6" w:rsidRPr="009233F6" w:rsidRDefault="009233F6" w:rsidP="009233F6">
      <w:pPr>
        <w:numPr>
          <w:ilvl w:val="0"/>
          <w:numId w:val="6"/>
        </w:numPr>
        <w:rPr>
          <w:rFonts w:eastAsia="標楷體"/>
        </w:rPr>
      </w:pPr>
      <w:r w:rsidRPr="009233F6">
        <w:rPr>
          <w:rFonts w:eastAsia="標楷體" w:hint="eastAsia"/>
        </w:rPr>
        <w:t>修習過「政治學」可抵免「政治學與當代生活」。</w:t>
      </w:r>
    </w:p>
    <w:p w:rsidR="009233F6" w:rsidRPr="009233F6" w:rsidRDefault="009233F6" w:rsidP="009233F6">
      <w:pPr>
        <w:ind w:left="480"/>
        <w:rPr>
          <w:rFonts w:eastAsia="標楷體"/>
        </w:rPr>
      </w:pPr>
    </w:p>
    <w:p w:rsidR="009233F6" w:rsidRPr="009233F6" w:rsidRDefault="009233F6" w:rsidP="009233F6">
      <w:pPr>
        <w:spacing w:line="240" w:lineRule="atLeast"/>
        <w:rPr>
          <w:rFonts w:eastAsia="標楷體"/>
          <w:szCs w:val="24"/>
        </w:rPr>
      </w:pPr>
    </w:p>
    <w:p w:rsidR="009233F6" w:rsidRPr="009233F6" w:rsidRDefault="009233F6" w:rsidP="009233F6">
      <w:pPr>
        <w:pStyle w:val="ListParagraph"/>
        <w:numPr>
          <w:ilvl w:val="0"/>
          <w:numId w:val="3"/>
        </w:numPr>
        <w:spacing w:beforeLines="50" w:before="120" w:line="240" w:lineRule="atLeast"/>
        <w:ind w:leftChars="0"/>
        <w:rPr>
          <w:rFonts w:ascii="Times New Roman" w:eastAsia="標楷體" w:hAnsi="Times New Roman"/>
          <w:b/>
          <w:sz w:val="26"/>
          <w:szCs w:val="26"/>
        </w:rPr>
      </w:pPr>
      <w:r w:rsidRPr="009233F6">
        <w:rPr>
          <w:rFonts w:ascii="Times New Roman" w:eastAsia="標楷體" w:hAnsi="Times New Roman" w:hint="eastAsia"/>
          <w:b/>
          <w:sz w:val="26"/>
          <w:szCs w:val="26"/>
        </w:rPr>
        <w:t>職涯進路圖：</w:t>
      </w:r>
    </w:p>
    <w:tbl>
      <w:tblPr>
        <w:tblW w:w="9307" w:type="dxa"/>
        <w:jc w:val="center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051"/>
        <w:gridCol w:w="1988"/>
        <w:gridCol w:w="2096"/>
        <w:gridCol w:w="1178"/>
        <w:gridCol w:w="1559"/>
        <w:gridCol w:w="1418"/>
        <w:gridCol w:w="17"/>
      </w:tblGrid>
      <w:tr w:rsidR="009233F6" w:rsidRPr="009233F6" w:rsidTr="00811C8E">
        <w:trPr>
          <w:trHeight w:val="327"/>
          <w:jc w:val="center"/>
        </w:trPr>
        <w:tc>
          <w:tcPr>
            <w:tcW w:w="93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33F6" w:rsidRPr="009233F6" w:rsidRDefault="009233F6" w:rsidP="00811C8E">
            <w:pPr>
              <w:widowControl/>
              <w:spacing w:line="240" w:lineRule="atLeast"/>
              <w:jc w:val="center"/>
              <w:rPr>
                <w:rFonts w:eastAsia="標楷體"/>
                <w:kern w:val="0"/>
                <w:szCs w:val="24"/>
              </w:rPr>
            </w:pPr>
            <w:r w:rsidRPr="009233F6">
              <w:rPr>
                <w:rFonts w:eastAsia="標楷體" w:hint="eastAsia"/>
                <w:kern w:val="0"/>
                <w:szCs w:val="24"/>
              </w:rPr>
              <w:t>公共行政學程職涯進路圖</w:t>
            </w:r>
          </w:p>
        </w:tc>
      </w:tr>
      <w:tr w:rsidR="009233F6" w:rsidRPr="009233F6" w:rsidTr="00811C8E">
        <w:trPr>
          <w:trHeight w:val="393"/>
          <w:jc w:val="center"/>
        </w:trPr>
        <w:tc>
          <w:tcPr>
            <w:tcW w:w="10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9233F6" w:rsidRPr="009233F6" w:rsidRDefault="009233F6" w:rsidP="00811C8E">
            <w:pPr>
              <w:widowControl/>
              <w:spacing w:line="240" w:lineRule="atLeast"/>
              <w:jc w:val="center"/>
              <w:rPr>
                <w:rFonts w:eastAsia="標楷體"/>
                <w:bCs/>
                <w:kern w:val="0"/>
                <w:szCs w:val="24"/>
              </w:rPr>
            </w:pPr>
            <w:r w:rsidRPr="009233F6">
              <w:rPr>
                <w:rFonts w:eastAsia="標楷體" w:hint="eastAsia"/>
                <w:bCs/>
                <w:kern w:val="0"/>
                <w:szCs w:val="24"/>
              </w:rPr>
              <w:t>學群</w:t>
            </w:r>
            <w:r w:rsidRPr="009233F6">
              <w:rPr>
                <w:rFonts w:eastAsia="標楷體"/>
                <w:bCs/>
                <w:kern w:val="0"/>
                <w:szCs w:val="24"/>
              </w:rPr>
              <w:t>/</w:t>
            </w:r>
            <w:r w:rsidRPr="009233F6">
              <w:rPr>
                <w:rFonts w:eastAsia="標楷體" w:hint="eastAsia"/>
                <w:bCs/>
                <w:kern w:val="0"/>
                <w:szCs w:val="24"/>
              </w:rPr>
              <w:t>學程</w:t>
            </w:r>
          </w:p>
        </w:tc>
        <w:tc>
          <w:tcPr>
            <w:tcW w:w="40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9233F6" w:rsidRPr="009233F6" w:rsidRDefault="009233F6" w:rsidP="00811C8E">
            <w:pPr>
              <w:widowControl/>
              <w:spacing w:line="240" w:lineRule="atLeast"/>
              <w:jc w:val="center"/>
              <w:rPr>
                <w:rFonts w:eastAsia="標楷體"/>
                <w:bCs/>
                <w:kern w:val="0"/>
                <w:szCs w:val="24"/>
              </w:rPr>
            </w:pPr>
            <w:r w:rsidRPr="009233F6">
              <w:rPr>
                <w:rFonts w:eastAsia="標楷體" w:hint="eastAsia"/>
                <w:bCs/>
                <w:kern w:val="0"/>
                <w:szCs w:val="24"/>
              </w:rPr>
              <w:t>修課清單</w:t>
            </w:r>
          </w:p>
        </w:tc>
        <w:tc>
          <w:tcPr>
            <w:tcW w:w="41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9233F6" w:rsidRPr="009233F6" w:rsidRDefault="009233F6" w:rsidP="00811C8E">
            <w:pPr>
              <w:widowControl/>
              <w:spacing w:line="240" w:lineRule="atLeast"/>
              <w:jc w:val="center"/>
              <w:rPr>
                <w:rFonts w:eastAsia="標楷體"/>
                <w:bCs/>
                <w:kern w:val="0"/>
                <w:szCs w:val="24"/>
              </w:rPr>
            </w:pPr>
            <w:r w:rsidRPr="009233F6">
              <w:rPr>
                <w:rFonts w:eastAsia="標楷體"/>
                <w:bCs/>
                <w:kern w:val="0"/>
                <w:szCs w:val="24"/>
              </w:rPr>
              <w:t>UCAN</w:t>
            </w:r>
          </w:p>
        </w:tc>
      </w:tr>
      <w:tr w:rsidR="009233F6" w:rsidRPr="009233F6" w:rsidTr="00811C8E">
        <w:trPr>
          <w:trHeight w:val="393"/>
          <w:jc w:val="center"/>
        </w:trPr>
        <w:tc>
          <w:tcPr>
            <w:tcW w:w="10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3F6" w:rsidRPr="009233F6" w:rsidRDefault="009233F6" w:rsidP="00811C8E">
            <w:pPr>
              <w:widowControl/>
              <w:spacing w:line="240" w:lineRule="atLeast"/>
              <w:jc w:val="center"/>
              <w:rPr>
                <w:rFonts w:eastAsia="標楷體"/>
                <w:bCs/>
                <w:kern w:val="0"/>
                <w:szCs w:val="24"/>
              </w:rPr>
            </w:pPr>
          </w:p>
        </w:tc>
        <w:tc>
          <w:tcPr>
            <w:tcW w:w="40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3F6" w:rsidRPr="009233F6" w:rsidRDefault="009233F6" w:rsidP="00811C8E">
            <w:pPr>
              <w:widowControl/>
              <w:spacing w:line="240" w:lineRule="atLeast"/>
              <w:jc w:val="center"/>
              <w:rPr>
                <w:rFonts w:eastAsia="標楷體"/>
                <w:bCs/>
                <w:kern w:val="0"/>
                <w:szCs w:val="24"/>
              </w:rPr>
            </w:pPr>
          </w:p>
        </w:tc>
        <w:tc>
          <w:tcPr>
            <w:tcW w:w="41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9233F6" w:rsidRPr="009233F6" w:rsidRDefault="009233F6" w:rsidP="00811C8E">
            <w:pPr>
              <w:widowControl/>
              <w:spacing w:line="240" w:lineRule="atLeast"/>
              <w:jc w:val="center"/>
              <w:rPr>
                <w:rFonts w:eastAsia="標楷體"/>
                <w:bCs/>
                <w:kern w:val="0"/>
                <w:szCs w:val="24"/>
              </w:rPr>
            </w:pPr>
            <w:r w:rsidRPr="009233F6">
              <w:rPr>
                <w:rFonts w:eastAsia="標楷體" w:hint="eastAsia"/>
                <w:bCs/>
                <w:kern w:val="0"/>
                <w:szCs w:val="24"/>
              </w:rPr>
              <w:t>（請依「就業領域</w:t>
            </w:r>
            <w:r w:rsidRPr="009233F6">
              <w:rPr>
                <w:rFonts w:eastAsia="標楷體"/>
                <w:bCs/>
                <w:kern w:val="0"/>
                <w:szCs w:val="24"/>
              </w:rPr>
              <w:t>→</w:t>
            </w:r>
            <w:r w:rsidRPr="009233F6">
              <w:rPr>
                <w:rFonts w:eastAsia="標楷體" w:hint="eastAsia"/>
                <w:bCs/>
                <w:kern w:val="0"/>
                <w:szCs w:val="24"/>
              </w:rPr>
              <w:t>就業途徑</w:t>
            </w:r>
            <w:r w:rsidRPr="009233F6">
              <w:rPr>
                <w:rFonts w:eastAsia="標楷體"/>
                <w:bCs/>
                <w:kern w:val="0"/>
                <w:szCs w:val="24"/>
              </w:rPr>
              <w:t>→</w:t>
            </w:r>
            <w:r w:rsidRPr="009233F6">
              <w:rPr>
                <w:rFonts w:eastAsia="標楷體" w:hint="eastAsia"/>
                <w:bCs/>
                <w:kern w:val="0"/>
                <w:szCs w:val="24"/>
              </w:rPr>
              <w:t>職業」的架構填寫資料）</w:t>
            </w:r>
          </w:p>
        </w:tc>
      </w:tr>
      <w:tr w:rsidR="009233F6" w:rsidRPr="009233F6" w:rsidTr="00811C8E">
        <w:trPr>
          <w:gridAfter w:val="1"/>
          <w:wAfter w:w="17" w:type="dxa"/>
          <w:trHeight w:val="393"/>
          <w:jc w:val="center"/>
        </w:trPr>
        <w:tc>
          <w:tcPr>
            <w:tcW w:w="10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3F6" w:rsidRPr="009233F6" w:rsidRDefault="009233F6" w:rsidP="00811C8E">
            <w:pPr>
              <w:widowControl/>
              <w:spacing w:line="240" w:lineRule="atLeast"/>
              <w:jc w:val="center"/>
              <w:rPr>
                <w:rFonts w:eastAsia="標楷體"/>
                <w:bCs/>
                <w:kern w:val="0"/>
                <w:szCs w:val="24"/>
              </w:rPr>
            </w:pPr>
          </w:p>
        </w:tc>
        <w:tc>
          <w:tcPr>
            <w:tcW w:w="40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9233F6" w:rsidRPr="009233F6" w:rsidRDefault="009233F6" w:rsidP="00811C8E">
            <w:pPr>
              <w:widowControl/>
              <w:spacing w:line="240" w:lineRule="atLeast"/>
              <w:jc w:val="center"/>
              <w:rPr>
                <w:rFonts w:eastAsia="標楷體"/>
                <w:kern w:val="0"/>
                <w:szCs w:val="24"/>
              </w:rPr>
            </w:pPr>
            <w:r w:rsidRPr="009233F6">
              <w:rPr>
                <w:rFonts w:eastAsia="標楷體" w:hint="eastAsia"/>
                <w:kern w:val="0"/>
                <w:szCs w:val="24"/>
              </w:rPr>
              <w:t>相關課程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9233F6" w:rsidRPr="009233F6" w:rsidRDefault="009233F6" w:rsidP="00811C8E">
            <w:pPr>
              <w:widowControl/>
              <w:spacing w:line="240" w:lineRule="atLeast"/>
              <w:jc w:val="center"/>
              <w:rPr>
                <w:rFonts w:eastAsia="標楷體"/>
                <w:kern w:val="0"/>
                <w:szCs w:val="24"/>
              </w:rPr>
            </w:pPr>
            <w:r w:rsidRPr="009233F6">
              <w:rPr>
                <w:rFonts w:eastAsia="標楷體" w:hint="eastAsia"/>
                <w:kern w:val="0"/>
                <w:szCs w:val="24"/>
              </w:rPr>
              <w:t>就業領域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9233F6" w:rsidRPr="009233F6" w:rsidRDefault="009233F6" w:rsidP="00811C8E">
            <w:pPr>
              <w:widowControl/>
              <w:spacing w:line="240" w:lineRule="atLeast"/>
              <w:jc w:val="center"/>
              <w:rPr>
                <w:rFonts w:eastAsia="標楷體"/>
                <w:kern w:val="0"/>
                <w:szCs w:val="24"/>
              </w:rPr>
            </w:pPr>
            <w:r w:rsidRPr="009233F6">
              <w:rPr>
                <w:rFonts w:eastAsia="標楷體" w:hint="eastAsia"/>
                <w:kern w:val="0"/>
                <w:szCs w:val="24"/>
              </w:rPr>
              <w:t>就業途徑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9233F6" w:rsidRPr="009233F6" w:rsidRDefault="009233F6" w:rsidP="00811C8E">
            <w:pPr>
              <w:widowControl/>
              <w:spacing w:line="240" w:lineRule="atLeast"/>
              <w:jc w:val="center"/>
              <w:rPr>
                <w:rFonts w:eastAsia="標楷體"/>
                <w:kern w:val="0"/>
                <w:szCs w:val="24"/>
              </w:rPr>
            </w:pPr>
            <w:r w:rsidRPr="009233F6">
              <w:rPr>
                <w:rFonts w:eastAsia="標楷體" w:hint="eastAsia"/>
                <w:kern w:val="0"/>
                <w:szCs w:val="24"/>
              </w:rPr>
              <w:t>職業</w:t>
            </w:r>
          </w:p>
        </w:tc>
      </w:tr>
      <w:tr w:rsidR="009233F6" w:rsidRPr="009233F6" w:rsidTr="00811C8E">
        <w:trPr>
          <w:gridAfter w:val="1"/>
          <w:wAfter w:w="17" w:type="dxa"/>
          <w:trHeight w:val="702"/>
          <w:jc w:val="center"/>
        </w:trPr>
        <w:tc>
          <w:tcPr>
            <w:tcW w:w="10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9233F6" w:rsidRPr="009233F6" w:rsidRDefault="009233F6" w:rsidP="00811C8E">
            <w:pPr>
              <w:widowControl/>
              <w:spacing w:line="240" w:lineRule="atLeast"/>
              <w:jc w:val="center"/>
              <w:rPr>
                <w:rFonts w:eastAsia="標楷體"/>
                <w:bCs/>
                <w:kern w:val="0"/>
                <w:szCs w:val="24"/>
              </w:rPr>
            </w:pPr>
            <w:r w:rsidRPr="009233F6">
              <w:rPr>
                <w:rFonts w:eastAsia="標楷體" w:hint="eastAsia"/>
                <w:bCs/>
                <w:kern w:val="0"/>
                <w:szCs w:val="24"/>
              </w:rPr>
              <w:t>公共行政學程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33F6" w:rsidRPr="009233F6" w:rsidRDefault="009233F6" w:rsidP="00811C8E">
            <w:pPr>
              <w:widowControl/>
              <w:spacing w:line="240" w:lineRule="atLeast"/>
              <w:jc w:val="center"/>
              <w:rPr>
                <w:rFonts w:eastAsia="標楷體"/>
                <w:bCs/>
                <w:kern w:val="0"/>
                <w:szCs w:val="24"/>
              </w:rPr>
            </w:pPr>
            <w:r w:rsidRPr="009233F6">
              <w:rPr>
                <w:rFonts w:ascii="標楷體" w:eastAsia="標楷體" w:hAnsi="標楷體" w:cs="Segoe UI"/>
                <w:kern w:val="0"/>
                <w:szCs w:val="24"/>
              </w:rPr>
              <w:t>行政學與公共管理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33F6" w:rsidRPr="009233F6" w:rsidRDefault="009233F6" w:rsidP="00811C8E">
            <w:pPr>
              <w:widowControl/>
              <w:spacing w:line="240" w:lineRule="atLeast"/>
              <w:jc w:val="center"/>
              <w:rPr>
                <w:rFonts w:eastAsia="標楷體" w:hint="eastAsia"/>
                <w:bCs/>
                <w:kern w:val="0"/>
                <w:szCs w:val="24"/>
              </w:rPr>
            </w:pPr>
            <w:r w:rsidRPr="009233F6">
              <w:rPr>
                <w:rFonts w:ascii="標楷體" w:eastAsia="標楷體" w:hAnsi="標楷體" w:cs="Segoe UI"/>
                <w:kern w:val="0"/>
                <w:szCs w:val="24"/>
              </w:rPr>
              <w:t>憲法與政府</w:t>
            </w:r>
          </w:p>
        </w:tc>
        <w:tc>
          <w:tcPr>
            <w:tcW w:w="11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9233F6" w:rsidRPr="009233F6" w:rsidRDefault="009233F6" w:rsidP="00811C8E">
            <w:pPr>
              <w:widowControl/>
              <w:spacing w:line="240" w:lineRule="atLeast"/>
              <w:jc w:val="center"/>
              <w:rPr>
                <w:rFonts w:eastAsia="標楷體"/>
                <w:kern w:val="0"/>
                <w:szCs w:val="24"/>
              </w:rPr>
            </w:pPr>
            <w:r w:rsidRPr="009233F6">
              <w:rPr>
                <w:rFonts w:eastAsia="標楷體" w:hint="eastAsia"/>
                <w:kern w:val="0"/>
                <w:szCs w:val="24"/>
              </w:rPr>
              <w:t>政府公共事務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9233F6" w:rsidRPr="009233F6" w:rsidRDefault="009233F6" w:rsidP="00811C8E">
            <w:pPr>
              <w:widowControl/>
              <w:spacing w:line="240" w:lineRule="atLeast"/>
              <w:jc w:val="center"/>
              <w:rPr>
                <w:rFonts w:eastAsia="標楷體" w:hint="eastAsia"/>
                <w:kern w:val="0"/>
                <w:szCs w:val="24"/>
              </w:rPr>
            </w:pPr>
            <w:r w:rsidRPr="009233F6">
              <w:rPr>
                <w:rFonts w:eastAsia="標楷體" w:hint="eastAsia"/>
                <w:kern w:val="0"/>
                <w:szCs w:val="24"/>
              </w:rPr>
              <w:t>公務人員考試</w:t>
            </w:r>
          </w:p>
          <w:p w:rsidR="009233F6" w:rsidRPr="009233F6" w:rsidRDefault="009233F6" w:rsidP="00811C8E">
            <w:pPr>
              <w:widowControl/>
              <w:spacing w:line="240" w:lineRule="atLeast"/>
              <w:jc w:val="center"/>
              <w:rPr>
                <w:rFonts w:eastAsia="標楷體"/>
                <w:kern w:val="0"/>
                <w:szCs w:val="24"/>
              </w:rPr>
            </w:pPr>
            <w:r w:rsidRPr="009233F6">
              <w:rPr>
                <w:rFonts w:eastAsia="標楷體" w:hint="eastAsia"/>
                <w:kern w:val="0"/>
                <w:szCs w:val="24"/>
              </w:rPr>
              <w:t>一般行政類科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9233F6" w:rsidRPr="009233F6" w:rsidRDefault="009233F6" w:rsidP="00811C8E">
            <w:pPr>
              <w:widowControl/>
              <w:spacing w:line="240" w:lineRule="atLeast"/>
              <w:jc w:val="center"/>
              <w:rPr>
                <w:rFonts w:eastAsia="標楷體"/>
                <w:kern w:val="0"/>
                <w:szCs w:val="24"/>
              </w:rPr>
            </w:pPr>
            <w:r w:rsidRPr="009233F6">
              <w:rPr>
                <w:rFonts w:eastAsia="標楷體" w:hint="eastAsia"/>
                <w:kern w:val="0"/>
                <w:szCs w:val="24"/>
              </w:rPr>
              <w:t>公務機關行政人員</w:t>
            </w:r>
          </w:p>
        </w:tc>
      </w:tr>
      <w:tr w:rsidR="009233F6" w:rsidRPr="009233F6" w:rsidTr="00811C8E">
        <w:trPr>
          <w:gridAfter w:val="1"/>
          <w:wAfter w:w="17" w:type="dxa"/>
          <w:trHeight w:val="579"/>
          <w:jc w:val="center"/>
        </w:trPr>
        <w:tc>
          <w:tcPr>
            <w:tcW w:w="10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3F6" w:rsidRPr="009233F6" w:rsidRDefault="009233F6" w:rsidP="00811C8E">
            <w:pPr>
              <w:widowControl/>
              <w:spacing w:line="240" w:lineRule="atLeast"/>
              <w:jc w:val="center"/>
              <w:rPr>
                <w:rFonts w:eastAsia="標楷體"/>
                <w:bCs/>
                <w:kern w:val="0"/>
                <w:szCs w:val="24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33F6" w:rsidRPr="009233F6" w:rsidRDefault="009233F6" w:rsidP="00811C8E">
            <w:pPr>
              <w:widowControl/>
              <w:spacing w:line="240" w:lineRule="atLeast"/>
              <w:jc w:val="center"/>
              <w:rPr>
                <w:rFonts w:eastAsia="標楷體"/>
                <w:bCs/>
                <w:kern w:val="0"/>
                <w:szCs w:val="24"/>
              </w:rPr>
            </w:pPr>
            <w:r w:rsidRPr="009233F6">
              <w:rPr>
                <w:rFonts w:ascii="標楷體" w:eastAsia="標楷體" w:hAnsi="標楷體" w:cs="Segoe UI"/>
                <w:kern w:val="0"/>
                <w:szCs w:val="24"/>
              </w:rPr>
              <w:t>政治學與當代生活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33F6" w:rsidRPr="009233F6" w:rsidRDefault="009233F6" w:rsidP="00811C8E">
            <w:pPr>
              <w:spacing w:line="240" w:lineRule="atLeast"/>
              <w:jc w:val="center"/>
              <w:rPr>
                <w:rFonts w:eastAsia="標楷體" w:hint="eastAsia"/>
                <w:bCs/>
                <w:kern w:val="0"/>
                <w:szCs w:val="24"/>
              </w:rPr>
            </w:pPr>
            <w:r w:rsidRPr="009233F6">
              <w:rPr>
                <w:rFonts w:ascii="標楷體" w:eastAsia="標楷體" w:hAnsi="標楷體" w:cs="Segoe UI"/>
                <w:kern w:val="0"/>
                <w:szCs w:val="24"/>
              </w:rPr>
              <w:t>法學緒論</w:t>
            </w:r>
          </w:p>
        </w:tc>
        <w:tc>
          <w:tcPr>
            <w:tcW w:w="11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33F6" w:rsidRPr="009233F6" w:rsidRDefault="009233F6" w:rsidP="00811C8E">
            <w:pPr>
              <w:widowControl/>
              <w:spacing w:line="240" w:lineRule="atLeast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33F6" w:rsidRPr="009233F6" w:rsidRDefault="009233F6" w:rsidP="00811C8E">
            <w:pPr>
              <w:widowControl/>
              <w:spacing w:line="240" w:lineRule="atLeast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33F6" w:rsidRPr="009233F6" w:rsidRDefault="009233F6" w:rsidP="00811C8E">
            <w:pPr>
              <w:widowControl/>
              <w:spacing w:line="240" w:lineRule="atLeast"/>
              <w:jc w:val="center"/>
              <w:rPr>
                <w:rFonts w:eastAsia="標楷體"/>
                <w:kern w:val="0"/>
                <w:szCs w:val="24"/>
              </w:rPr>
            </w:pPr>
          </w:p>
        </w:tc>
      </w:tr>
      <w:tr w:rsidR="009233F6" w:rsidRPr="009233F6" w:rsidTr="00811C8E">
        <w:trPr>
          <w:gridAfter w:val="1"/>
          <w:wAfter w:w="17" w:type="dxa"/>
          <w:trHeight w:val="375"/>
          <w:jc w:val="center"/>
        </w:trPr>
        <w:tc>
          <w:tcPr>
            <w:tcW w:w="10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3F6" w:rsidRPr="009233F6" w:rsidRDefault="009233F6" w:rsidP="00811C8E">
            <w:pPr>
              <w:widowControl/>
              <w:spacing w:line="240" w:lineRule="atLeast"/>
              <w:jc w:val="center"/>
              <w:rPr>
                <w:rFonts w:eastAsia="標楷體"/>
                <w:bCs/>
                <w:kern w:val="0"/>
                <w:szCs w:val="24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33F6" w:rsidRPr="009233F6" w:rsidRDefault="009233F6" w:rsidP="00811C8E">
            <w:pPr>
              <w:widowControl/>
              <w:spacing w:line="240" w:lineRule="atLeast"/>
              <w:jc w:val="center"/>
              <w:rPr>
                <w:rFonts w:ascii="標楷體" w:eastAsia="標楷體" w:hAnsi="標楷體" w:cs="Segoe UI" w:hint="eastAsia"/>
                <w:kern w:val="0"/>
                <w:szCs w:val="24"/>
              </w:rPr>
            </w:pPr>
            <w:r w:rsidRPr="009233F6">
              <w:rPr>
                <w:rFonts w:ascii="標楷體" w:eastAsia="標楷體" w:hAnsi="標楷體" w:cs="Segoe UI"/>
                <w:kern w:val="0"/>
                <w:szCs w:val="24"/>
              </w:rPr>
              <w:t>行政法與公共事務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33F6" w:rsidRPr="009233F6" w:rsidRDefault="009233F6" w:rsidP="00811C8E">
            <w:pPr>
              <w:spacing w:line="240" w:lineRule="atLeast"/>
              <w:jc w:val="center"/>
              <w:rPr>
                <w:rFonts w:eastAsia="標楷體" w:hint="eastAsia"/>
                <w:bCs/>
                <w:kern w:val="0"/>
                <w:szCs w:val="24"/>
              </w:rPr>
            </w:pPr>
            <w:r w:rsidRPr="009233F6">
              <w:rPr>
                <w:rFonts w:ascii="標楷體" w:eastAsia="標楷體" w:hAnsi="標楷體" w:cs="Segoe UI"/>
                <w:kern w:val="0"/>
                <w:szCs w:val="24"/>
              </w:rPr>
              <w:t>民刑法與公民社會</w:t>
            </w:r>
          </w:p>
        </w:tc>
        <w:tc>
          <w:tcPr>
            <w:tcW w:w="11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33F6" w:rsidRPr="009233F6" w:rsidRDefault="009233F6" w:rsidP="00811C8E">
            <w:pPr>
              <w:widowControl/>
              <w:spacing w:line="240" w:lineRule="atLeast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33F6" w:rsidRPr="009233F6" w:rsidRDefault="009233F6" w:rsidP="00811C8E">
            <w:pPr>
              <w:widowControl/>
              <w:spacing w:line="240" w:lineRule="atLeast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33F6" w:rsidRPr="009233F6" w:rsidRDefault="009233F6" w:rsidP="00811C8E">
            <w:pPr>
              <w:widowControl/>
              <w:spacing w:line="240" w:lineRule="atLeast"/>
              <w:jc w:val="center"/>
              <w:rPr>
                <w:rFonts w:eastAsia="標楷體"/>
                <w:kern w:val="0"/>
                <w:szCs w:val="24"/>
              </w:rPr>
            </w:pPr>
          </w:p>
        </w:tc>
      </w:tr>
      <w:tr w:rsidR="009233F6" w:rsidRPr="009233F6" w:rsidTr="00811C8E">
        <w:trPr>
          <w:gridAfter w:val="1"/>
          <w:wAfter w:w="17" w:type="dxa"/>
          <w:trHeight w:val="519"/>
          <w:jc w:val="center"/>
        </w:trPr>
        <w:tc>
          <w:tcPr>
            <w:tcW w:w="10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3F6" w:rsidRPr="009233F6" w:rsidRDefault="009233F6" w:rsidP="00811C8E">
            <w:pPr>
              <w:widowControl/>
              <w:spacing w:line="240" w:lineRule="atLeast"/>
              <w:jc w:val="center"/>
              <w:rPr>
                <w:rFonts w:eastAsia="標楷體"/>
                <w:bCs/>
                <w:kern w:val="0"/>
                <w:szCs w:val="24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33F6" w:rsidRPr="009233F6" w:rsidRDefault="009233F6" w:rsidP="00811C8E">
            <w:pPr>
              <w:widowControl/>
              <w:spacing w:line="240" w:lineRule="atLeast"/>
              <w:jc w:val="center"/>
              <w:rPr>
                <w:rFonts w:eastAsia="標楷體" w:hint="eastAsia"/>
                <w:bCs/>
                <w:kern w:val="0"/>
                <w:szCs w:val="24"/>
              </w:rPr>
            </w:pPr>
            <w:r w:rsidRPr="009233F6">
              <w:rPr>
                <w:rFonts w:ascii="標楷體" w:eastAsia="標楷體" w:hAnsi="標楷體" w:cs="Segoe UI" w:hint="eastAsia"/>
                <w:kern w:val="0"/>
                <w:szCs w:val="24"/>
              </w:rPr>
              <w:t>法律與現代生活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33F6" w:rsidRPr="009233F6" w:rsidRDefault="009233F6" w:rsidP="00811C8E">
            <w:pPr>
              <w:widowControl/>
              <w:spacing w:line="240" w:lineRule="atLeast"/>
              <w:jc w:val="center"/>
              <w:rPr>
                <w:rFonts w:eastAsia="標楷體" w:hint="eastAsia"/>
                <w:bCs/>
                <w:kern w:val="0"/>
                <w:szCs w:val="24"/>
              </w:rPr>
            </w:pPr>
            <w:r w:rsidRPr="009233F6">
              <w:rPr>
                <w:rFonts w:eastAsia="標楷體" w:hint="eastAsia"/>
                <w:bCs/>
                <w:kern w:val="0"/>
                <w:szCs w:val="24"/>
              </w:rPr>
              <w:t>台灣政治與民主</w:t>
            </w:r>
          </w:p>
        </w:tc>
        <w:tc>
          <w:tcPr>
            <w:tcW w:w="11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33F6" w:rsidRPr="009233F6" w:rsidRDefault="009233F6" w:rsidP="00811C8E">
            <w:pPr>
              <w:widowControl/>
              <w:spacing w:line="240" w:lineRule="atLeast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33F6" w:rsidRPr="009233F6" w:rsidRDefault="009233F6" w:rsidP="00811C8E">
            <w:pPr>
              <w:widowControl/>
              <w:spacing w:line="240" w:lineRule="atLeast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33F6" w:rsidRPr="009233F6" w:rsidRDefault="009233F6" w:rsidP="00811C8E">
            <w:pPr>
              <w:widowControl/>
              <w:spacing w:line="240" w:lineRule="atLeast"/>
              <w:jc w:val="center"/>
              <w:rPr>
                <w:rFonts w:eastAsia="標楷體"/>
                <w:kern w:val="0"/>
                <w:szCs w:val="24"/>
              </w:rPr>
            </w:pPr>
          </w:p>
        </w:tc>
      </w:tr>
    </w:tbl>
    <w:p w:rsidR="009233F6" w:rsidRPr="009233F6" w:rsidRDefault="009233F6" w:rsidP="009233F6">
      <w:pPr>
        <w:pStyle w:val="ListParagraph"/>
        <w:spacing w:beforeLines="50" w:before="120" w:line="240" w:lineRule="atLeast"/>
        <w:ind w:leftChars="0" w:left="862"/>
        <w:rPr>
          <w:rFonts w:ascii="Times New Roman" w:eastAsia="標楷體" w:hAnsi="Times New Roman"/>
          <w:b/>
          <w:sz w:val="26"/>
          <w:szCs w:val="26"/>
        </w:rPr>
      </w:pPr>
    </w:p>
    <w:p w:rsidR="009233F6" w:rsidRPr="009233F6" w:rsidRDefault="009233F6" w:rsidP="009233F6">
      <w:pPr>
        <w:numPr>
          <w:ilvl w:val="0"/>
          <w:numId w:val="1"/>
        </w:numPr>
        <w:spacing w:before="240" w:after="240" w:line="276" w:lineRule="auto"/>
        <w:ind w:left="658" w:hanging="641"/>
        <w:rPr>
          <w:rFonts w:eastAsia="標楷體"/>
          <w:b/>
          <w:sz w:val="28"/>
          <w:szCs w:val="24"/>
        </w:rPr>
      </w:pPr>
      <w:r w:rsidRPr="009233F6">
        <w:rPr>
          <w:rFonts w:eastAsia="標楷體" w:hint="eastAsia"/>
          <w:b/>
          <w:sz w:val="28"/>
          <w:szCs w:val="24"/>
        </w:rPr>
        <w:t>遴選標準</w:t>
      </w:r>
    </w:p>
    <w:p w:rsidR="009233F6" w:rsidRPr="009233F6" w:rsidRDefault="009233F6" w:rsidP="009233F6">
      <w:pPr>
        <w:spacing w:before="240" w:after="240" w:line="276" w:lineRule="auto"/>
        <w:ind w:firstLineChars="200" w:firstLine="480"/>
        <w:rPr>
          <w:rFonts w:eastAsia="標楷體"/>
          <w:b/>
          <w:szCs w:val="24"/>
        </w:rPr>
      </w:pPr>
      <w:r w:rsidRPr="009233F6">
        <w:rPr>
          <w:rFonts w:eastAsia="標楷體" w:hint="eastAsia"/>
          <w:szCs w:val="24"/>
        </w:rPr>
        <w:t>本校在學學生均可申請。</w:t>
      </w:r>
    </w:p>
    <w:p w:rsidR="009233F6" w:rsidRPr="009233F6" w:rsidRDefault="009233F6" w:rsidP="009233F6">
      <w:pPr>
        <w:numPr>
          <w:ilvl w:val="0"/>
          <w:numId w:val="1"/>
        </w:numPr>
        <w:spacing w:before="240" w:line="276" w:lineRule="auto"/>
        <w:ind w:left="658" w:hanging="641"/>
        <w:rPr>
          <w:rFonts w:eastAsia="標楷體"/>
          <w:b/>
          <w:sz w:val="28"/>
          <w:szCs w:val="24"/>
        </w:rPr>
      </w:pPr>
      <w:r w:rsidRPr="009233F6">
        <w:rPr>
          <w:rFonts w:eastAsia="標楷體" w:hint="eastAsia"/>
          <w:b/>
          <w:sz w:val="28"/>
          <w:szCs w:val="24"/>
        </w:rPr>
        <w:t>抵免原則</w:t>
      </w:r>
    </w:p>
    <w:p w:rsidR="009233F6" w:rsidRPr="009233F6" w:rsidRDefault="009233F6" w:rsidP="009233F6">
      <w:pPr>
        <w:spacing w:before="240" w:line="276" w:lineRule="auto"/>
        <w:ind w:firstLineChars="200" w:firstLine="480"/>
        <w:rPr>
          <w:rFonts w:eastAsia="標楷體"/>
          <w:szCs w:val="24"/>
        </w:rPr>
      </w:pPr>
      <w:r w:rsidRPr="009233F6">
        <w:rPr>
          <w:rFonts w:eastAsia="標楷體" w:hint="eastAsia"/>
          <w:szCs w:val="24"/>
        </w:rPr>
        <w:t>曾修習過與學程科目內容相關者，經由學校相關抵免學分規定辦理。</w:t>
      </w:r>
    </w:p>
    <w:p w:rsidR="009233F6" w:rsidRPr="009233F6" w:rsidRDefault="009233F6" w:rsidP="009233F6">
      <w:pPr>
        <w:numPr>
          <w:ilvl w:val="0"/>
          <w:numId w:val="1"/>
        </w:numPr>
        <w:spacing w:before="240" w:line="276" w:lineRule="auto"/>
        <w:ind w:left="658" w:hanging="641"/>
        <w:rPr>
          <w:rFonts w:eastAsia="標楷體"/>
          <w:b/>
          <w:sz w:val="28"/>
          <w:szCs w:val="24"/>
        </w:rPr>
      </w:pPr>
      <w:r w:rsidRPr="009233F6">
        <w:rPr>
          <w:rFonts w:eastAsia="標楷體" w:hint="eastAsia"/>
          <w:b/>
          <w:sz w:val="28"/>
          <w:szCs w:val="24"/>
        </w:rPr>
        <w:t>預期成效</w:t>
      </w:r>
    </w:p>
    <w:p w:rsidR="009233F6" w:rsidRPr="009233F6" w:rsidRDefault="009233F6" w:rsidP="009233F6">
      <w:pPr>
        <w:numPr>
          <w:ilvl w:val="0"/>
          <w:numId w:val="5"/>
        </w:numPr>
        <w:spacing w:before="240" w:line="276" w:lineRule="auto"/>
        <w:ind w:left="567" w:hanging="567"/>
        <w:rPr>
          <w:rFonts w:eastAsia="標楷體"/>
          <w:szCs w:val="24"/>
        </w:rPr>
      </w:pPr>
      <w:r w:rsidRPr="009233F6">
        <w:rPr>
          <w:rFonts w:eastAsia="標楷體" w:hint="eastAsia"/>
          <w:szCs w:val="24"/>
        </w:rPr>
        <w:t>提升本學程之學生一般行政類必備公務知能。</w:t>
      </w:r>
    </w:p>
    <w:p w:rsidR="009233F6" w:rsidRPr="009233F6" w:rsidRDefault="009233F6" w:rsidP="009233F6">
      <w:pPr>
        <w:numPr>
          <w:ilvl w:val="0"/>
          <w:numId w:val="5"/>
        </w:numPr>
        <w:spacing w:line="276" w:lineRule="auto"/>
        <w:ind w:left="567" w:hanging="567"/>
        <w:rPr>
          <w:rFonts w:eastAsia="標楷體"/>
          <w:szCs w:val="24"/>
        </w:rPr>
      </w:pPr>
      <w:r w:rsidRPr="009233F6">
        <w:rPr>
          <w:rFonts w:eastAsia="標楷體" w:hint="eastAsia"/>
          <w:szCs w:val="24"/>
        </w:rPr>
        <w:t>整合校內、外相關領域之教學資源，幫助學生於校內即可準備公職考試。</w:t>
      </w:r>
    </w:p>
    <w:p w:rsidR="009233F6" w:rsidRPr="009233F6" w:rsidRDefault="009233F6" w:rsidP="009233F6">
      <w:pPr>
        <w:numPr>
          <w:ilvl w:val="0"/>
          <w:numId w:val="5"/>
        </w:numPr>
        <w:spacing w:line="276" w:lineRule="auto"/>
        <w:ind w:left="567" w:hanging="567"/>
      </w:pPr>
      <w:r w:rsidRPr="009233F6">
        <w:rPr>
          <w:rFonts w:eastAsia="標楷體" w:hint="eastAsia"/>
          <w:szCs w:val="24"/>
        </w:rPr>
        <w:t>學生修畢本學程，除可獲取學程證書外，並可提升政法類跨領域素養，增進學生就業競爭力。</w:t>
      </w:r>
    </w:p>
    <w:p w:rsidR="009233F6" w:rsidRPr="009233F6" w:rsidRDefault="009233F6" w:rsidP="009233F6"/>
    <w:p w:rsidR="009233F6" w:rsidRPr="009233F6" w:rsidRDefault="009233F6" w:rsidP="009233F6">
      <w:pPr>
        <w:spacing w:beforeLines="50" w:before="120"/>
        <w:jc w:val="both"/>
        <w:rPr>
          <w:rFonts w:hint="eastAsia"/>
        </w:rPr>
      </w:pPr>
    </w:p>
    <w:p w:rsidR="00D72CAA" w:rsidRPr="009233F6" w:rsidRDefault="00D72CAA"/>
    <w:sectPr w:rsidR="00D72CAA" w:rsidRPr="009233F6" w:rsidSect="009233F6">
      <w:pgSz w:w="11907" w:h="16840" w:code="9"/>
      <w:pgMar w:top="639" w:right="1021" w:bottom="380" w:left="1134" w:header="720" w:footer="39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7777E"/>
    <w:multiLevelType w:val="hybridMultilevel"/>
    <w:tmpl w:val="FC74A71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90B00F3"/>
    <w:multiLevelType w:val="hybridMultilevel"/>
    <w:tmpl w:val="C818D57C"/>
    <w:lvl w:ilvl="0" w:tplc="8148252C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40"/>
        </w:tabs>
        <w:ind w:left="13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80"/>
        </w:tabs>
        <w:ind w:left="27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60"/>
        </w:tabs>
        <w:ind w:left="32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0"/>
        </w:tabs>
        <w:ind w:left="37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20"/>
        </w:tabs>
        <w:ind w:left="42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00"/>
        </w:tabs>
        <w:ind w:left="4700" w:hanging="480"/>
      </w:pPr>
    </w:lvl>
  </w:abstractNum>
  <w:abstractNum w:abstractNumId="2" w15:restartNumberingAfterBreak="0">
    <w:nsid w:val="1F8327E6"/>
    <w:multiLevelType w:val="hybridMultilevel"/>
    <w:tmpl w:val="9AA888BC"/>
    <w:lvl w:ilvl="0" w:tplc="17AC6586">
      <w:start w:val="1"/>
      <w:numFmt w:val="taiwaneseCountingThousand"/>
      <w:lvlText w:val="%1、"/>
      <w:lvlJc w:val="left"/>
      <w:pPr>
        <w:ind w:left="862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102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62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2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  <w:rPr>
        <w:rFonts w:cs="Times New Roman"/>
      </w:rPr>
    </w:lvl>
  </w:abstractNum>
  <w:abstractNum w:abstractNumId="3" w15:restartNumberingAfterBreak="0">
    <w:nsid w:val="40F06D9C"/>
    <w:multiLevelType w:val="hybridMultilevel"/>
    <w:tmpl w:val="A3E87414"/>
    <w:lvl w:ilvl="0" w:tplc="9E8A8C30">
      <w:start w:val="1"/>
      <w:numFmt w:val="taiwaneseCountingThousand"/>
      <w:lvlText w:val="（%1）"/>
      <w:lvlJc w:val="left"/>
      <w:pPr>
        <w:ind w:left="1342" w:hanging="480"/>
      </w:pPr>
      <w:rPr>
        <w:rFonts w:cs="Times New Roman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822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02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82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262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42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22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702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182" w:hanging="480"/>
      </w:pPr>
      <w:rPr>
        <w:rFonts w:cs="Times New Roman"/>
      </w:rPr>
    </w:lvl>
  </w:abstractNum>
  <w:abstractNum w:abstractNumId="4" w15:restartNumberingAfterBreak="0">
    <w:nsid w:val="4C260C46"/>
    <w:multiLevelType w:val="hybridMultilevel"/>
    <w:tmpl w:val="A7726A40"/>
    <w:lvl w:ilvl="0" w:tplc="A6C669B0">
      <w:start w:val="1"/>
      <w:numFmt w:val="taiwaneseCountingThousand"/>
      <w:lvlText w:val="%1、"/>
      <w:lvlJc w:val="left"/>
      <w:pPr>
        <w:ind w:left="862" w:hanging="720"/>
      </w:pPr>
      <w:rPr>
        <w:rFonts w:ascii="標楷體" w:eastAsia="標楷體" w:hAnsi="標楷體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102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62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2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  <w:rPr>
        <w:rFonts w:cs="Times New Roman"/>
      </w:rPr>
    </w:lvl>
  </w:abstractNum>
  <w:abstractNum w:abstractNumId="5" w15:restartNumberingAfterBreak="0">
    <w:nsid w:val="5FBA28BA"/>
    <w:multiLevelType w:val="hybridMultilevel"/>
    <w:tmpl w:val="68282ED6"/>
    <w:lvl w:ilvl="0" w:tplc="36E8CD7C">
      <w:start w:val="2"/>
      <w:numFmt w:val="taiwaneseCountingThousand"/>
      <w:lvlText w:val="%1、"/>
      <w:lvlJc w:val="left"/>
      <w:pPr>
        <w:ind w:left="862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102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62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2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3F6"/>
    <w:rsid w:val="009233F6"/>
    <w:rsid w:val="00D7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24899"/>
  <w15:chartTrackingRefBased/>
  <w15:docId w15:val="{BB87BB0D-429E-4B18-9454-34231F57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3F6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9233F6"/>
    <w:pPr>
      <w:ind w:leftChars="200" w:left="48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廖怡婷</dc:creator>
  <cp:keywords/>
  <dc:description/>
  <cp:lastModifiedBy>廖怡婷</cp:lastModifiedBy>
  <cp:revision>1</cp:revision>
  <dcterms:created xsi:type="dcterms:W3CDTF">2023-03-17T07:44:00Z</dcterms:created>
  <dcterms:modified xsi:type="dcterms:W3CDTF">2023-03-17T07:50:00Z</dcterms:modified>
</cp:coreProperties>
</file>