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B.2 — Preflight checklist (short)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Step</w:t>
        <w:tab/>
        <w:t xml:space="preserve">Action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audits in both databases and resolve reported rows.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full backup of each database; verify a restore to test environment.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application behavior against a snapshot DB with tightened schema in staging.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maintenance window; inform stakeholders.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migration script (B.1) in target DB; monitor for errors.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integration tests; validate search, unique-key behavior, and UI validation errors.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issues, restore from backup and report findings for remediation.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Notes, caveats, and next actions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 ran schema discovery for the four tables in dbo of templarcms_authoring; scripts assume the same schema exists in templarcms_published.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 COLUMN statements may fail if constraints (FKs, indexes) depend on the column — preflight checks aim to catch likely causes but review dependencies before running in production.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columns defined as NOT NULL with defaults, the ALTER COLUMN preserves NOT NULL constraints where appropriate.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Filtered unique indexes require SQL Server 2008+ (supported by your SQL2025).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migration template does not change collation; you confirmed keeping SQL_Latin1_General_CP1_CI_AS.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did not include automated data-migration (e.g., truncation or normalization). Resolve offending rows manually or with reviewed transformation scripts.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Would you like: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I) A helper script to export offending rows to CSV for manual review?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II) A staged data-fix script proposal (e.g., report/trim/notify) for each offending type?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III) Proceed to generate a migration runbook with exact command sequences and PowerShell steps to perform backup/restore checks?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