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D0FB" w14:textId="1D6EBB6E" w:rsidR="00F06280" w:rsidRPr="00F06280" w:rsidRDefault="00F06280" w:rsidP="00F06280">
      <w:pPr>
        <w:spacing w:line="360" w:lineRule="auto"/>
        <w:jc w:val="center"/>
        <w:rPr>
          <w:rFonts w:ascii="Garamond" w:hAnsi="Garamond"/>
          <w:sz w:val="36"/>
          <w:szCs w:val="36"/>
        </w:rPr>
      </w:pPr>
      <w:r w:rsidRPr="00F06280">
        <w:rPr>
          <w:rFonts w:ascii="Garamond" w:hAnsi="Garamond"/>
          <w:sz w:val="36"/>
          <w:szCs w:val="36"/>
        </w:rPr>
        <w:t>Le droit romain</w:t>
      </w:r>
    </w:p>
    <w:p w14:paraId="5C201E4C" w14:textId="57373475" w:rsidR="00F06280" w:rsidRDefault="00F06280" w:rsidP="00F06280">
      <w:pPr>
        <w:spacing w:line="360" w:lineRule="auto"/>
        <w:rPr>
          <w:rFonts w:ascii="Garamond" w:hAnsi="Garamond"/>
        </w:rPr>
      </w:pPr>
    </w:p>
    <w:p w14:paraId="7BE44717" w14:textId="7F882E58" w:rsidR="00F06280" w:rsidRDefault="00F06280" w:rsidP="00F06280">
      <w:pPr>
        <w:spacing w:line="360" w:lineRule="auto"/>
        <w:jc w:val="both"/>
        <w:rPr>
          <w:rFonts w:ascii="Garamond" w:hAnsi="Garamond"/>
        </w:rPr>
      </w:pPr>
    </w:p>
    <w:p w14:paraId="16C03E93" w14:textId="682D485E" w:rsidR="00BF7B77" w:rsidRDefault="00BF7B77" w:rsidP="00F0628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 xml:space="preserve">La naissance de l’Empire romain </w:t>
      </w:r>
    </w:p>
    <w:p w14:paraId="2C3E3C7B" w14:textId="284B7B2D" w:rsidR="00BF7B77" w:rsidRDefault="00BF7B77" w:rsidP="00BF7B77">
      <w:pPr>
        <w:spacing w:line="360" w:lineRule="auto"/>
        <w:jc w:val="both"/>
        <w:rPr>
          <w:rFonts w:ascii="Garamond" w:hAnsi="Garamond"/>
          <w:b/>
          <w:bCs/>
          <w:u w:val="single"/>
        </w:rPr>
      </w:pPr>
    </w:p>
    <w:p w14:paraId="72C12DB5" w14:textId="475A923C" w:rsidR="00BF7B77" w:rsidRDefault="00BF7B77" w:rsidP="00BF7B77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753 av. J.-C. : fondation de Rome et de l’Empire romain : </w:t>
      </w:r>
    </w:p>
    <w:p w14:paraId="78A8EA53" w14:textId="026E6483" w:rsidR="00BF7B77" w:rsidRDefault="00BF7B77" w:rsidP="00BF7B77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Conquête du bassin méditerranéen et mise en place d’un bornage entre les territoires conquis et les territoires étrangers : </w:t>
      </w:r>
    </w:p>
    <w:p w14:paraId="6012AA7D" w14:textId="06F9A26F" w:rsidR="00BF7B77" w:rsidRDefault="00BF7B77" w:rsidP="00BF7B77">
      <w:pPr>
        <w:pStyle w:val="Paragraphedeliste"/>
        <w:numPr>
          <w:ilvl w:val="2"/>
          <w:numId w:val="4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À l’intérieur du bornage : application du droit romain.</w:t>
      </w:r>
    </w:p>
    <w:p w14:paraId="30DDC441" w14:textId="31D93D83" w:rsidR="00BF7B77" w:rsidRDefault="00BF7B77" w:rsidP="00BF7B77">
      <w:pPr>
        <w:pStyle w:val="Paragraphedeliste"/>
        <w:numPr>
          <w:ilvl w:val="2"/>
          <w:numId w:val="4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A l’extérieur du bornage : non-application du droit romain.</w:t>
      </w:r>
    </w:p>
    <w:p w14:paraId="7619A57A" w14:textId="7F9126B4" w:rsidR="00BF7B77" w:rsidRPr="00BF7B77" w:rsidRDefault="00BF7B77" w:rsidP="00BF7B77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Développement d’une science juridique à part entière : vision globale de cette science, bien distincte d’une simple somme de règles particulières. </w:t>
      </w:r>
    </w:p>
    <w:p w14:paraId="386F3EE3" w14:textId="77777777" w:rsidR="00BF7B77" w:rsidRPr="00BF7B77" w:rsidRDefault="00BF7B77" w:rsidP="00BF7B77">
      <w:pPr>
        <w:spacing w:line="360" w:lineRule="auto"/>
        <w:jc w:val="both"/>
        <w:rPr>
          <w:rFonts w:ascii="Garamond" w:hAnsi="Garamond"/>
          <w:b/>
          <w:bCs/>
          <w:u w:val="single"/>
        </w:rPr>
      </w:pPr>
    </w:p>
    <w:p w14:paraId="2666E2E0" w14:textId="7C139822" w:rsidR="00F06280" w:rsidRPr="00F06280" w:rsidRDefault="00F06280" w:rsidP="00F0628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aramond" w:hAnsi="Garamond"/>
          <w:b/>
          <w:bCs/>
          <w:u w:val="single"/>
        </w:rPr>
      </w:pPr>
      <w:r w:rsidRPr="00F06280">
        <w:rPr>
          <w:rFonts w:ascii="Garamond" w:hAnsi="Garamond"/>
          <w:b/>
          <w:bCs/>
          <w:u w:val="single"/>
        </w:rPr>
        <w:t>Les fondements du droit romain</w:t>
      </w:r>
    </w:p>
    <w:p w14:paraId="02D194A6" w14:textId="45B22D3D" w:rsidR="00F06280" w:rsidRDefault="00F06280" w:rsidP="00F06280">
      <w:pPr>
        <w:spacing w:line="360" w:lineRule="auto"/>
        <w:jc w:val="both"/>
        <w:rPr>
          <w:rFonts w:ascii="Garamond" w:hAnsi="Garamond"/>
        </w:rPr>
      </w:pPr>
    </w:p>
    <w:p w14:paraId="5F7E4AEF" w14:textId="24364F48" w:rsidR="00A920B1" w:rsidRPr="00A920B1" w:rsidRDefault="00A920B1" w:rsidP="00A920B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Garamond" w:hAnsi="Garamond"/>
          <w:u w:val="single"/>
        </w:rPr>
      </w:pPr>
      <w:r w:rsidRPr="00A920B1">
        <w:rPr>
          <w:rFonts w:ascii="Garamond" w:hAnsi="Garamond"/>
          <w:u w:val="single"/>
        </w:rPr>
        <w:t xml:space="preserve">La naissance du droit romain </w:t>
      </w:r>
    </w:p>
    <w:p w14:paraId="528C3CEB" w14:textId="77777777" w:rsidR="00A920B1" w:rsidRPr="00A920B1" w:rsidRDefault="00A920B1" w:rsidP="00A920B1">
      <w:pPr>
        <w:spacing w:line="360" w:lineRule="auto"/>
        <w:jc w:val="both"/>
        <w:rPr>
          <w:rFonts w:ascii="Garamond" w:hAnsi="Garamond"/>
        </w:rPr>
      </w:pPr>
    </w:p>
    <w:p w14:paraId="50B5FC9E" w14:textId="56868554" w:rsidR="00F06280" w:rsidRDefault="00F06280" w:rsidP="00F06280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Avant le droit romain : le Droit n’était qu’une suite désorganisée de règles particulières et concrètes.</w:t>
      </w:r>
    </w:p>
    <w:p w14:paraId="174A6E1B" w14:textId="7F3D4F96" w:rsidR="00F06280" w:rsidRDefault="00F06280" w:rsidP="00F06280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Garamond" w:hAnsi="Garamond"/>
        </w:rPr>
      </w:pPr>
      <w:r w:rsidRPr="00F06280">
        <w:rPr>
          <w:rFonts w:ascii="Garamond" w:hAnsi="Garamond"/>
        </w:rPr>
        <w:t xml:space="preserve">Droit romain = origine du système juridique occidental, parfois appelé </w:t>
      </w:r>
      <w:r w:rsidRPr="00F06280">
        <w:rPr>
          <w:rFonts w:ascii="Garamond" w:hAnsi="Garamond"/>
          <w:i/>
          <w:iCs/>
        </w:rPr>
        <w:t xml:space="preserve">Civil </w:t>
      </w:r>
      <w:proofErr w:type="spellStart"/>
      <w:r w:rsidRPr="00F06280">
        <w:rPr>
          <w:rFonts w:ascii="Garamond" w:hAnsi="Garamond"/>
          <w:i/>
          <w:iCs/>
        </w:rPr>
        <w:t>law</w:t>
      </w:r>
      <w:proofErr w:type="spellEnd"/>
      <w:r w:rsidRPr="00F06280">
        <w:rPr>
          <w:rFonts w:ascii="Garamond" w:hAnsi="Garamond"/>
        </w:rPr>
        <w:t xml:space="preserve"> (en opposition avec le système du </w:t>
      </w:r>
      <w:r w:rsidRPr="00F06280">
        <w:rPr>
          <w:rFonts w:ascii="Garamond" w:hAnsi="Garamond"/>
          <w:i/>
          <w:iCs/>
        </w:rPr>
        <w:t xml:space="preserve">Common </w:t>
      </w:r>
      <w:proofErr w:type="spellStart"/>
      <w:r w:rsidRPr="00F06280">
        <w:rPr>
          <w:rFonts w:ascii="Garamond" w:hAnsi="Garamond"/>
          <w:i/>
          <w:iCs/>
        </w:rPr>
        <w:t>law</w:t>
      </w:r>
      <w:proofErr w:type="spellEnd"/>
      <w:r w:rsidRPr="00F06280">
        <w:rPr>
          <w:rFonts w:ascii="Garamond" w:hAnsi="Garamond"/>
          <w:i/>
          <w:iCs/>
        </w:rPr>
        <w:t xml:space="preserve"> </w:t>
      </w:r>
      <w:r w:rsidRPr="00F06280">
        <w:rPr>
          <w:rFonts w:ascii="Garamond" w:hAnsi="Garamond"/>
        </w:rPr>
        <w:t>anglo-saxon,</w:t>
      </w:r>
      <w:r w:rsidR="00BF7B77">
        <w:rPr>
          <w:rFonts w:ascii="Garamond" w:hAnsi="Garamond"/>
        </w:rPr>
        <w:t xml:space="preserve"> mais</w:t>
      </w:r>
      <w:r w:rsidRPr="00F06280">
        <w:rPr>
          <w:rFonts w:ascii="Garamond" w:hAnsi="Garamond"/>
        </w:rPr>
        <w:t xml:space="preserve"> lui aussi influencé par le droit romain).</w:t>
      </w:r>
    </w:p>
    <w:p w14:paraId="012CB75D" w14:textId="1B4D79C1" w:rsidR="00F06280" w:rsidRPr="00F06280" w:rsidRDefault="00F06280" w:rsidP="00F06280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En somme, le système mis en place par le droit romain a permis d’aboutir à des techniques juridiques abstraites, applicables à tous les citoyens, suivant un mode de fonctionnement particulièrement </w:t>
      </w:r>
      <w:r>
        <w:rPr>
          <w:rFonts w:ascii="Garamond" w:hAnsi="Garamond"/>
          <w:u w:val="single"/>
        </w:rPr>
        <w:t>organisé.</w:t>
      </w:r>
      <w:r w:rsidR="00BF7B77">
        <w:rPr>
          <w:rFonts w:ascii="Garamond" w:hAnsi="Garamond"/>
        </w:rPr>
        <w:t xml:space="preserve"> Mise en place d’une approche </w:t>
      </w:r>
      <w:r w:rsidR="00BF7B77">
        <w:rPr>
          <w:rFonts w:ascii="Garamond" w:hAnsi="Garamond"/>
          <w:b/>
          <w:bCs/>
        </w:rPr>
        <w:t>systémique</w:t>
      </w:r>
      <w:r w:rsidR="00BF7B77">
        <w:rPr>
          <w:rFonts w:ascii="Garamond" w:hAnsi="Garamond"/>
        </w:rPr>
        <w:t xml:space="preserve"> du droit</w:t>
      </w:r>
      <w:r w:rsidR="00BF7B77">
        <w:rPr>
          <w:rFonts w:ascii="Garamond" w:hAnsi="Garamond"/>
          <w:b/>
          <w:bCs/>
        </w:rPr>
        <w:t xml:space="preserve"> </w:t>
      </w:r>
      <w:r w:rsidR="00BF7B77" w:rsidRPr="00BF7B77">
        <w:rPr>
          <w:rFonts w:ascii="Garamond" w:hAnsi="Garamond"/>
        </w:rPr>
        <w:sym w:font="Wingdings" w:char="F0E8"/>
      </w:r>
      <w:r w:rsidR="00BF7B77">
        <w:rPr>
          <w:rFonts w:ascii="Garamond" w:hAnsi="Garamond"/>
        </w:rPr>
        <w:t xml:space="preserve"> les juristes vont ériger des </w:t>
      </w:r>
      <w:r w:rsidR="00BF7B77">
        <w:rPr>
          <w:rFonts w:ascii="Garamond" w:hAnsi="Garamond"/>
          <w:b/>
          <w:bCs/>
          <w:u w:val="single"/>
        </w:rPr>
        <w:t>notions</w:t>
      </w:r>
      <w:r w:rsidR="00BF7B77">
        <w:rPr>
          <w:rFonts w:ascii="Garamond" w:hAnsi="Garamond"/>
          <w:u w:val="single"/>
        </w:rPr>
        <w:t xml:space="preserve"> </w:t>
      </w:r>
      <w:r w:rsidR="00BF7B77" w:rsidRPr="00BF7B77">
        <w:rPr>
          <w:rFonts w:ascii="Garamond" w:hAnsi="Garamond"/>
          <w:b/>
          <w:bCs/>
          <w:u w:val="single"/>
        </w:rPr>
        <w:t>et des grandes catégories théoriques</w:t>
      </w:r>
      <w:r w:rsidR="00BF7B77">
        <w:rPr>
          <w:rFonts w:ascii="Garamond" w:hAnsi="Garamond"/>
          <w:b/>
          <w:bCs/>
          <w:u w:val="single"/>
        </w:rPr>
        <w:t xml:space="preserve"> </w:t>
      </w:r>
      <w:r w:rsidR="00BF7B77">
        <w:rPr>
          <w:rFonts w:ascii="Garamond" w:hAnsi="Garamond"/>
        </w:rPr>
        <w:t xml:space="preserve">(ex. contrat, propriété). Ces théories générales auront ainsi vocation à s’appliquer à différentes sous-catégories. </w:t>
      </w:r>
    </w:p>
    <w:p w14:paraId="7B73BA64" w14:textId="4F53BDA8" w:rsidR="00F06280" w:rsidRDefault="00F06280" w:rsidP="00F06280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Le </w:t>
      </w:r>
      <w:r w:rsidR="00A920B1">
        <w:rPr>
          <w:rFonts w:ascii="Garamond" w:hAnsi="Garamond"/>
          <w:b/>
          <w:bCs/>
          <w:i/>
          <w:iCs/>
        </w:rPr>
        <w:t>C</w:t>
      </w:r>
      <w:r w:rsidRPr="00F06280">
        <w:rPr>
          <w:rFonts w:ascii="Garamond" w:hAnsi="Garamond"/>
          <w:b/>
          <w:bCs/>
          <w:i/>
          <w:iCs/>
        </w:rPr>
        <w:t xml:space="preserve">orpus </w:t>
      </w:r>
      <w:proofErr w:type="spellStart"/>
      <w:r w:rsidRPr="00F06280">
        <w:rPr>
          <w:rFonts w:ascii="Garamond" w:hAnsi="Garamond"/>
          <w:b/>
          <w:bCs/>
          <w:i/>
          <w:iCs/>
        </w:rPr>
        <w:t>juris</w:t>
      </w:r>
      <w:proofErr w:type="spellEnd"/>
      <w:r w:rsidRPr="00F06280">
        <w:rPr>
          <w:rFonts w:ascii="Garamond" w:hAnsi="Garamond"/>
          <w:b/>
          <w:bCs/>
          <w:i/>
          <w:iCs/>
        </w:rPr>
        <w:t xml:space="preserve"> </w:t>
      </w:r>
      <w:proofErr w:type="spellStart"/>
      <w:r w:rsidRPr="00F06280">
        <w:rPr>
          <w:rFonts w:ascii="Garamond" w:hAnsi="Garamond"/>
          <w:b/>
          <w:bCs/>
          <w:i/>
          <w:iCs/>
        </w:rPr>
        <w:t>civilis</w:t>
      </w:r>
      <w:proofErr w:type="spellEnd"/>
      <w:r>
        <w:rPr>
          <w:rFonts w:ascii="Garamond" w:hAnsi="Garamond"/>
        </w:rPr>
        <w:t xml:space="preserve"> constitue la base de la structure du système, initié par Justinien en </w:t>
      </w:r>
      <w:r w:rsidR="00BF7B77">
        <w:rPr>
          <w:rFonts w:ascii="Garamond" w:hAnsi="Garamond"/>
        </w:rPr>
        <w:t>528</w:t>
      </w:r>
      <w:r>
        <w:rPr>
          <w:rFonts w:ascii="Garamond" w:hAnsi="Garamond"/>
        </w:rPr>
        <w:t xml:space="preserve"> suite au partage de l’empire entre l’Orient et l’Occident. Il est constitué de plusieurs ouvrages : </w:t>
      </w:r>
    </w:p>
    <w:p w14:paraId="0E644702" w14:textId="35A096D9" w:rsidR="00BF7B77" w:rsidRDefault="00F06280" w:rsidP="00F06280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Garamond" w:hAnsi="Garamond"/>
        </w:rPr>
      </w:pPr>
      <w:r w:rsidRPr="00BF7B77">
        <w:rPr>
          <w:rFonts w:ascii="Garamond" w:hAnsi="Garamond"/>
        </w:rPr>
        <w:t>Le Codex = la codification de la législation impériale</w:t>
      </w:r>
      <w:r w:rsidR="00BF7B77">
        <w:rPr>
          <w:rFonts w:ascii="Garamond" w:hAnsi="Garamond"/>
        </w:rPr>
        <w:t xml:space="preserve"> (en 529)</w:t>
      </w:r>
    </w:p>
    <w:p w14:paraId="0364AE35" w14:textId="0C2E0D9D" w:rsidR="00F06280" w:rsidRPr="00BF7B77" w:rsidRDefault="00F06280" w:rsidP="00F06280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Garamond" w:hAnsi="Garamond"/>
        </w:rPr>
      </w:pPr>
      <w:r w:rsidRPr="00BF7B77">
        <w:rPr>
          <w:rFonts w:ascii="Garamond" w:hAnsi="Garamond"/>
        </w:rPr>
        <w:t>Le Digeste = la doctrine</w:t>
      </w:r>
      <w:r w:rsidR="00BF7B77">
        <w:rPr>
          <w:rFonts w:ascii="Garamond" w:hAnsi="Garamond"/>
        </w:rPr>
        <w:t xml:space="preserve"> (en 533)</w:t>
      </w:r>
      <w:r w:rsidRPr="00BF7B77">
        <w:rPr>
          <w:rFonts w:ascii="Garamond" w:hAnsi="Garamond"/>
        </w:rPr>
        <w:t>.</w:t>
      </w:r>
    </w:p>
    <w:p w14:paraId="7BA760BA" w14:textId="00571975" w:rsidR="00F06280" w:rsidRDefault="00F06280" w:rsidP="00F06280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Les Institues = un manuel de droit inspiré de Gaius.</w:t>
      </w:r>
    </w:p>
    <w:p w14:paraId="28784092" w14:textId="587C8165" w:rsidR="00F06280" w:rsidRDefault="00F06280" w:rsidP="00F06280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>Les Novelles = les lois promulguées par l’empereur (édits, décrets…).</w:t>
      </w:r>
    </w:p>
    <w:p w14:paraId="3B7CF016" w14:textId="7FDA093C" w:rsidR="00A920B1" w:rsidRDefault="00BF7B77" w:rsidP="00A920B1">
      <w:pPr>
        <w:spacing w:line="360" w:lineRule="auto"/>
        <w:jc w:val="both"/>
        <w:rPr>
          <w:rFonts w:ascii="Garamond" w:hAnsi="Garamond"/>
        </w:rPr>
      </w:pPr>
      <w:r w:rsidRPr="00BF7B77">
        <w:rPr>
          <w:rFonts w:ascii="Garamond" w:hAnsi="Garamond"/>
          <w:b/>
          <w:bCs/>
          <w:u w:val="single"/>
        </w:rPr>
        <w:t>Attention</w:t>
      </w:r>
      <w:r>
        <w:rPr>
          <w:rFonts w:ascii="Garamond" w:hAnsi="Garamond"/>
        </w:rPr>
        <w:t xml:space="preserve"> : on ne parle pas encore de codification. </w:t>
      </w:r>
    </w:p>
    <w:p w14:paraId="6AA14F96" w14:textId="77777777" w:rsidR="00BF7B77" w:rsidRDefault="00BF7B77" w:rsidP="00A920B1">
      <w:pPr>
        <w:spacing w:line="360" w:lineRule="auto"/>
        <w:jc w:val="both"/>
        <w:rPr>
          <w:rFonts w:ascii="Garamond" w:hAnsi="Garamond"/>
        </w:rPr>
      </w:pPr>
    </w:p>
    <w:p w14:paraId="0FC02F4A" w14:textId="6AA6EF68" w:rsidR="00A920B1" w:rsidRPr="00A920B1" w:rsidRDefault="00A920B1" w:rsidP="00A920B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Garamond" w:hAnsi="Garamond"/>
          <w:u w:val="single"/>
        </w:rPr>
      </w:pPr>
      <w:r w:rsidRPr="00A920B1">
        <w:rPr>
          <w:rFonts w:ascii="Garamond" w:hAnsi="Garamond"/>
          <w:u w:val="single"/>
        </w:rPr>
        <w:t>L’influence du droit romain dans le temps</w:t>
      </w:r>
    </w:p>
    <w:p w14:paraId="213B5967" w14:textId="77777777" w:rsidR="00A920B1" w:rsidRPr="00A920B1" w:rsidRDefault="00A920B1" w:rsidP="00A920B1">
      <w:pPr>
        <w:spacing w:line="360" w:lineRule="auto"/>
        <w:jc w:val="both"/>
        <w:rPr>
          <w:rFonts w:ascii="Garamond" w:hAnsi="Garamond"/>
        </w:rPr>
      </w:pPr>
    </w:p>
    <w:p w14:paraId="05B121EC" w14:textId="77777777" w:rsidR="00BF7B77" w:rsidRDefault="00A920B1" w:rsidP="00BF7B7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L’influence du droit romain va ensuite s’essouffler : l’idée de </w:t>
      </w:r>
      <w:r w:rsidRPr="00BF7B77">
        <w:rPr>
          <w:rFonts w:ascii="Garamond" w:hAnsi="Garamond"/>
          <w:b/>
          <w:bCs/>
          <w:u w:val="single"/>
        </w:rPr>
        <w:t>personnalité des lois</w:t>
      </w:r>
      <w:r>
        <w:rPr>
          <w:rFonts w:ascii="Garamond" w:hAnsi="Garamond"/>
        </w:rPr>
        <w:t xml:space="preserve"> prédomine </w:t>
      </w:r>
      <w:r w:rsidRPr="00A920B1">
        <w:rPr>
          <w:rFonts w:ascii="Garamond" w:hAnsi="Garamond"/>
        </w:rPr>
        <w:sym w:font="Wingdings" w:char="F0E8"/>
      </w:r>
      <w:r>
        <w:rPr>
          <w:rFonts w:ascii="Garamond" w:hAnsi="Garamond"/>
        </w:rPr>
        <w:t xml:space="preserve"> chacun doit être jugé selon la loi de sa propre communauté. </w:t>
      </w:r>
    </w:p>
    <w:p w14:paraId="32409C6A" w14:textId="1692E000" w:rsidR="00A920B1" w:rsidRDefault="00A920B1" w:rsidP="00BF7B7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A</w:t>
      </w:r>
      <w:r w:rsidRPr="00BF7B77">
        <w:rPr>
          <w:rFonts w:ascii="Garamond" w:hAnsi="Garamond"/>
        </w:rPr>
        <w:t>u Moyen-âge :</w:t>
      </w:r>
      <w:r w:rsidR="00BF7B77">
        <w:rPr>
          <w:rFonts w:ascii="Garamond" w:hAnsi="Garamond"/>
        </w:rPr>
        <w:t xml:space="preserve"> un</w:t>
      </w:r>
      <w:r w:rsidR="00BF7B77" w:rsidRPr="00BF7B77">
        <w:rPr>
          <w:rFonts w:ascii="Garamond" w:hAnsi="Garamond"/>
        </w:rPr>
        <w:t xml:space="preserve"> brassage des cultures juridiques se dessine laissant </w:t>
      </w:r>
      <w:r w:rsidR="00BF7B77">
        <w:rPr>
          <w:rFonts w:ascii="Garamond" w:hAnsi="Garamond"/>
        </w:rPr>
        <w:t xml:space="preserve">ensuite </w:t>
      </w:r>
      <w:r w:rsidR="00BF7B77" w:rsidRPr="00BF7B77">
        <w:rPr>
          <w:rFonts w:ascii="Garamond" w:hAnsi="Garamond"/>
        </w:rPr>
        <w:t xml:space="preserve">place à un principe de </w:t>
      </w:r>
      <w:r w:rsidR="00BF7B77" w:rsidRPr="00BF7B77">
        <w:rPr>
          <w:rFonts w:ascii="Garamond" w:hAnsi="Garamond"/>
          <w:b/>
          <w:bCs/>
          <w:u w:val="single"/>
        </w:rPr>
        <w:t>territorialité des lois</w:t>
      </w:r>
      <w:r w:rsidR="00BF7B77" w:rsidRPr="00BF7B77">
        <w:rPr>
          <w:rFonts w:ascii="Garamond" w:hAnsi="Garamond"/>
        </w:rPr>
        <w:t xml:space="preserve"> </w:t>
      </w:r>
      <w:r w:rsidR="00BF7B77" w:rsidRPr="00BF7B77">
        <w:sym w:font="Wingdings" w:char="F0E8"/>
      </w:r>
      <w:r w:rsidR="00BF7B77" w:rsidRPr="00BF7B77">
        <w:rPr>
          <w:rFonts w:ascii="Garamond" w:hAnsi="Garamond"/>
        </w:rPr>
        <w:t xml:space="preserve"> pour un même territoire</w:t>
      </w:r>
      <w:r w:rsidR="00BF7B77">
        <w:rPr>
          <w:rFonts w:ascii="Garamond" w:hAnsi="Garamond"/>
        </w:rPr>
        <w:t xml:space="preserve"> = un droit unique</w:t>
      </w:r>
      <w:r w:rsidR="002820BF">
        <w:rPr>
          <w:rFonts w:ascii="Garamond" w:hAnsi="Garamond"/>
        </w:rPr>
        <w:t xml:space="preserve"> : </w:t>
      </w:r>
    </w:p>
    <w:p w14:paraId="1BA82337" w14:textId="273211DC" w:rsidR="002820BF" w:rsidRDefault="002820BF" w:rsidP="002820BF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Au Nord : application de coutumes germaniques.</w:t>
      </w:r>
    </w:p>
    <w:p w14:paraId="52356059" w14:textId="2C03C1E4" w:rsidR="002820BF" w:rsidRPr="00BF7B77" w:rsidRDefault="002820BF" w:rsidP="002820BF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Au Sud : application de coutumes inspirées du droit romain.</w:t>
      </w:r>
    </w:p>
    <w:p w14:paraId="66C05003" w14:textId="46E3EA15" w:rsidR="00BF1A53" w:rsidRDefault="00A920B1" w:rsidP="00A920B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Le développement des échanges va conduire à un regain d’intérêt pour le système de droit romain : X</w:t>
      </w:r>
      <w:r w:rsidR="002820BF">
        <w:rPr>
          <w:rFonts w:ascii="Garamond" w:hAnsi="Garamond"/>
        </w:rPr>
        <w:t>I</w:t>
      </w:r>
      <w:r>
        <w:rPr>
          <w:rFonts w:ascii="Garamond" w:hAnsi="Garamond"/>
        </w:rPr>
        <w:t xml:space="preserve">Ième siècle </w:t>
      </w:r>
      <w:r w:rsidRPr="00A920B1">
        <w:rPr>
          <w:rFonts w:ascii="Garamond" w:hAnsi="Garamond"/>
        </w:rPr>
        <w:sym w:font="Wingdings" w:char="F0E8"/>
      </w:r>
      <w:r>
        <w:rPr>
          <w:rFonts w:ascii="Garamond" w:hAnsi="Garamond"/>
        </w:rPr>
        <w:t xml:space="preserve"> l’école de Bologne étudie et enseigne le droit romain et précisément le</w:t>
      </w:r>
      <w:r>
        <w:rPr>
          <w:rFonts w:ascii="Garamond" w:hAnsi="Garamond"/>
          <w:i/>
          <w:iCs/>
        </w:rPr>
        <w:t xml:space="preserve"> Corpus </w:t>
      </w:r>
      <w:proofErr w:type="spellStart"/>
      <w:r>
        <w:rPr>
          <w:rFonts w:ascii="Garamond" w:hAnsi="Garamond"/>
          <w:i/>
          <w:iCs/>
        </w:rPr>
        <w:t>juris</w:t>
      </w:r>
      <w:proofErr w:type="spellEnd"/>
      <w:r>
        <w:rPr>
          <w:rFonts w:ascii="Garamond" w:hAnsi="Garamond"/>
          <w:i/>
          <w:iCs/>
        </w:rPr>
        <w:t xml:space="preserve"> </w:t>
      </w:r>
      <w:proofErr w:type="spellStart"/>
      <w:r>
        <w:rPr>
          <w:rFonts w:ascii="Garamond" w:hAnsi="Garamond"/>
          <w:i/>
          <w:iCs/>
        </w:rPr>
        <w:t>civilis</w:t>
      </w:r>
      <w:proofErr w:type="spellEnd"/>
      <w:r>
        <w:rPr>
          <w:rFonts w:ascii="Garamond" w:hAnsi="Garamond"/>
        </w:rPr>
        <w:t xml:space="preserve">. Parmi les grands </w:t>
      </w:r>
      <w:r w:rsidR="00BF1A53">
        <w:rPr>
          <w:rFonts w:ascii="Garamond" w:hAnsi="Garamond"/>
        </w:rPr>
        <w:t>P</w:t>
      </w:r>
      <w:r>
        <w:rPr>
          <w:rFonts w:ascii="Garamond" w:hAnsi="Garamond"/>
        </w:rPr>
        <w:t xml:space="preserve">rofesseurs, il faut retenir </w:t>
      </w:r>
      <w:proofErr w:type="spellStart"/>
      <w:r>
        <w:rPr>
          <w:rFonts w:ascii="Garamond" w:hAnsi="Garamond"/>
        </w:rPr>
        <w:t>Inérius</w:t>
      </w:r>
      <w:proofErr w:type="spellEnd"/>
      <w:r>
        <w:rPr>
          <w:rFonts w:ascii="Garamond" w:hAnsi="Garamond"/>
        </w:rPr>
        <w:t xml:space="preserve"> et Placentin. Les enseignements de l’école de Bologne se propagent ensuite dans tout le Sud de la France</w:t>
      </w:r>
      <w:r w:rsidR="00BF1A53">
        <w:rPr>
          <w:rFonts w:ascii="Garamond" w:hAnsi="Garamond"/>
        </w:rPr>
        <w:t>.</w:t>
      </w:r>
    </w:p>
    <w:p w14:paraId="4358EE13" w14:textId="530EAD64" w:rsidR="00A920B1" w:rsidRDefault="002820BF" w:rsidP="00A920B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XIVème siècle : </w:t>
      </w:r>
      <w:r w:rsidR="00BF1A53">
        <w:rPr>
          <w:rFonts w:ascii="Garamond" w:hAnsi="Garamond"/>
        </w:rPr>
        <w:t xml:space="preserve">Les savants étudient le droit romain afin d’enrichir leur culture juridique = on les appelle les glossateurs (ex. Accurse). La glose = système de commentaire du </w:t>
      </w:r>
      <w:r w:rsidR="00BF1A53">
        <w:rPr>
          <w:rFonts w:ascii="Garamond" w:hAnsi="Garamond"/>
          <w:i/>
          <w:iCs/>
        </w:rPr>
        <w:t xml:space="preserve">Corpus </w:t>
      </w:r>
      <w:proofErr w:type="spellStart"/>
      <w:r w:rsidR="00BF1A53">
        <w:rPr>
          <w:rFonts w:ascii="Garamond" w:hAnsi="Garamond"/>
          <w:i/>
          <w:iCs/>
        </w:rPr>
        <w:t>juris</w:t>
      </w:r>
      <w:proofErr w:type="spellEnd"/>
      <w:r w:rsidR="00BF1A53">
        <w:rPr>
          <w:rFonts w:ascii="Garamond" w:hAnsi="Garamond"/>
          <w:i/>
          <w:iCs/>
        </w:rPr>
        <w:t xml:space="preserve"> </w:t>
      </w:r>
      <w:proofErr w:type="spellStart"/>
      <w:r w:rsidR="00BF1A53">
        <w:rPr>
          <w:rFonts w:ascii="Garamond" w:hAnsi="Garamond"/>
          <w:i/>
          <w:iCs/>
        </w:rPr>
        <w:t>civilis</w:t>
      </w:r>
      <w:proofErr w:type="spellEnd"/>
      <w:r w:rsidR="00BF1A53">
        <w:rPr>
          <w:rFonts w:ascii="Garamond" w:hAnsi="Garamond"/>
        </w:rPr>
        <w:t xml:space="preserve">. </w:t>
      </w:r>
    </w:p>
    <w:p w14:paraId="71B1C3A5" w14:textId="2A49D8EB" w:rsidR="00BC3D62" w:rsidRDefault="00BC3D62" w:rsidP="00A920B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Les </w:t>
      </w:r>
      <w:proofErr w:type="spellStart"/>
      <w:r>
        <w:rPr>
          <w:rFonts w:ascii="Garamond" w:hAnsi="Garamond"/>
        </w:rPr>
        <w:t>post-glossateurs</w:t>
      </w:r>
      <w:proofErr w:type="spellEnd"/>
      <w:r>
        <w:rPr>
          <w:rFonts w:ascii="Garamond" w:hAnsi="Garamond"/>
        </w:rPr>
        <w:t> : utilisent la glose (notamment la grande glose, commentaire des ouvrages d’</w:t>
      </w:r>
      <w:proofErr w:type="spellStart"/>
      <w:r>
        <w:rPr>
          <w:rFonts w:ascii="Garamond" w:hAnsi="Garamond"/>
        </w:rPr>
        <w:t>Inérius</w:t>
      </w:r>
      <w:proofErr w:type="spellEnd"/>
      <w:r>
        <w:rPr>
          <w:rFonts w:ascii="Garamond" w:hAnsi="Garamond"/>
        </w:rPr>
        <w:t xml:space="preserve">) afin de l’adapter à leur époque. </w:t>
      </w:r>
    </w:p>
    <w:p w14:paraId="24BB6417" w14:textId="1F4FCD8E" w:rsidR="00BC3D62" w:rsidRDefault="00BC3D62" w:rsidP="00A920B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L’influence du droit romain est retentissante dans l’ensemble de l’Europe mais sera principalement appliqué en Italie </w:t>
      </w:r>
      <w:r w:rsidRPr="00BC3D62">
        <w:rPr>
          <w:rFonts w:ascii="Garamond" w:hAnsi="Garamond"/>
        </w:rPr>
        <w:sym w:font="Wingdings" w:char="F0E8"/>
      </w:r>
      <w:r>
        <w:rPr>
          <w:rFonts w:ascii="Garamond" w:hAnsi="Garamond"/>
        </w:rPr>
        <w:t xml:space="preserve"> technique commune de raisonnement juridique. </w:t>
      </w:r>
    </w:p>
    <w:p w14:paraId="749C9599" w14:textId="77777777" w:rsidR="008F2C46" w:rsidRDefault="008F2C46" w:rsidP="00A920B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En Angleterre : </w:t>
      </w:r>
    </w:p>
    <w:p w14:paraId="538D7290" w14:textId="56FAA3E1" w:rsidR="00F24F01" w:rsidRDefault="008F2C46" w:rsidP="008F2C46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La colonie romaine « </w:t>
      </w:r>
      <w:proofErr w:type="spellStart"/>
      <w:r>
        <w:rPr>
          <w:rFonts w:ascii="Garamond" w:hAnsi="Garamond"/>
        </w:rPr>
        <w:t>Britannia</w:t>
      </w:r>
      <w:proofErr w:type="spellEnd"/>
      <w:r>
        <w:rPr>
          <w:rFonts w:ascii="Garamond" w:hAnsi="Garamond"/>
        </w:rPr>
        <w:t xml:space="preserve"> » est le terrain d’application du droit romain, précisément par Papinien. </w:t>
      </w:r>
    </w:p>
    <w:p w14:paraId="686DDA68" w14:textId="582BFB05" w:rsidR="008F2C46" w:rsidRPr="00F06280" w:rsidRDefault="008F2C46" w:rsidP="008F2C46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Volonté de mettre en place un droit anglais spécifique : </w:t>
      </w:r>
      <w:proofErr w:type="spellStart"/>
      <w:r>
        <w:rPr>
          <w:rFonts w:ascii="Garamond" w:hAnsi="Garamond"/>
        </w:rPr>
        <w:t>Bracto</w:t>
      </w:r>
      <w:r w:rsidR="002820BF">
        <w:rPr>
          <w:rFonts w:ascii="Garamond" w:hAnsi="Garamond"/>
        </w:rPr>
        <w:t>n</w:t>
      </w:r>
      <w:proofErr w:type="spellEnd"/>
      <w:r>
        <w:rPr>
          <w:rFonts w:ascii="Garamond" w:hAnsi="Garamond"/>
        </w:rPr>
        <w:t xml:space="preserve"> est l’auteur d’un traité de droit anglais (XIIIème siècle). Il a été formé à Bologne et disposait de connaissances précises sur le </w:t>
      </w:r>
      <w:r>
        <w:rPr>
          <w:rFonts w:ascii="Garamond" w:hAnsi="Garamond"/>
          <w:i/>
          <w:iCs/>
        </w:rPr>
        <w:t xml:space="preserve">Corpus </w:t>
      </w:r>
      <w:proofErr w:type="spellStart"/>
      <w:r>
        <w:rPr>
          <w:rFonts w:ascii="Garamond" w:hAnsi="Garamond"/>
          <w:i/>
          <w:iCs/>
        </w:rPr>
        <w:t>juris</w:t>
      </w:r>
      <w:proofErr w:type="spellEnd"/>
      <w:r>
        <w:rPr>
          <w:rFonts w:ascii="Garamond" w:hAnsi="Garamond"/>
          <w:i/>
          <w:iCs/>
        </w:rPr>
        <w:t xml:space="preserve"> </w:t>
      </w:r>
      <w:proofErr w:type="spellStart"/>
      <w:r>
        <w:rPr>
          <w:rFonts w:ascii="Garamond" w:hAnsi="Garamond"/>
          <w:i/>
          <w:iCs/>
        </w:rPr>
        <w:t>civilis</w:t>
      </w:r>
      <w:proofErr w:type="spellEnd"/>
      <w:r>
        <w:rPr>
          <w:rFonts w:ascii="Garamond" w:hAnsi="Garamond"/>
        </w:rPr>
        <w:t xml:space="preserve"> </w:t>
      </w:r>
      <w:r w:rsidRPr="008F2C46">
        <w:rPr>
          <w:rFonts w:ascii="Garamond" w:hAnsi="Garamond"/>
        </w:rPr>
        <w:sym w:font="Wingdings" w:char="F0E8"/>
      </w:r>
      <w:r>
        <w:rPr>
          <w:rFonts w:ascii="Garamond" w:hAnsi="Garamond"/>
        </w:rPr>
        <w:t xml:space="preserve"> lien manifeste entre le </w:t>
      </w:r>
      <w:proofErr w:type="spellStart"/>
      <w:r>
        <w:rPr>
          <w:rFonts w:ascii="Garamond" w:hAnsi="Garamond"/>
          <w:i/>
          <w:iCs/>
        </w:rPr>
        <w:t>Legibus</w:t>
      </w:r>
      <w:proofErr w:type="spellEnd"/>
      <w:r>
        <w:rPr>
          <w:rFonts w:ascii="Garamond" w:hAnsi="Garamond"/>
        </w:rPr>
        <w:t xml:space="preserve"> (solutions prétoriennes anglaises) et le droit romain. Par la suite : enseignement du droit romain à Oxford et Cambridge.</w:t>
      </w:r>
    </w:p>
    <w:p w14:paraId="7EC9D103" w14:textId="497B2B53" w:rsidR="00F06280" w:rsidRDefault="00F06280" w:rsidP="00F06280">
      <w:pPr>
        <w:spacing w:line="360" w:lineRule="auto"/>
        <w:rPr>
          <w:rFonts w:ascii="Garamond" w:hAnsi="Garamond"/>
        </w:rPr>
      </w:pPr>
    </w:p>
    <w:p w14:paraId="1539E2C6" w14:textId="77777777" w:rsidR="00F06280" w:rsidRDefault="00F06280" w:rsidP="00F06280">
      <w:pPr>
        <w:spacing w:line="360" w:lineRule="auto"/>
        <w:rPr>
          <w:rFonts w:ascii="Garamond" w:hAnsi="Garamond"/>
        </w:rPr>
      </w:pPr>
    </w:p>
    <w:p w14:paraId="6D1C1832" w14:textId="69D934F1" w:rsidR="00F06280" w:rsidRDefault="00F06280" w:rsidP="00F06280">
      <w:pPr>
        <w:spacing w:line="360" w:lineRule="auto"/>
        <w:rPr>
          <w:rFonts w:ascii="Garamond" w:hAnsi="Garamond"/>
        </w:rPr>
      </w:pPr>
    </w:p>
    <w:p w14:paraId="4CD0E847" w14:textId="77777777" w:rsidR="00F06280" w:rsidRPr="00F06280" w:rsidRDefault="00F06280" w:rsidP="00F06280">
      <w:pPr>
        <w:spacing w:line="360" w:lineRule="auto"/>
        <w:rPr>
          <w:rFonts w:ascii="Garamond" w:hAnsi="Garamond"/>
        </w:rPr>
      </w:pPr>
    </w:p>
    <w:sectPr w:rsidR="00F06280" w:rsidRPr="00F06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B5E"/>
    <w:multiLevelType w:val="hybridMultilevel"/>
    <w:tmpl w:val="924ACBC0"/>
    <w:lvl w:ilvl="0" w:tplc="1390E5B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36C8E"/>
    <w:multiLevelType w:val="hybridMultilevel"/>
    <w:tmpl w:val="869EC936"/>
    <w:lvl w:ilvl="0" w:tplc="0082F2D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8175E"/>
    <w:multiLevelType w:val="hybridMultilevel"/>
    <w:tmpl w:val="FBFA3708"/>
    <w:lvl w:ilvl="0" w:tplc="C92404D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D6307"/>
    <w:multiLevelType w:val="hybridMultilevel"/>
    <w:tmpl w:val="EA30CDC2"/>
    <w:lvl w:ilvl="0" w:tplc="AA94856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80"/>
    <w:rsid w:val="00125E91"/>
    <w:rsid w:val="002820BF"/>
    <w:rsid w:val="008F2C46"/>
    <w:rsid w:val="00973EFC"/>
    <w:rsid w:val="00A920B1"/>
    <w:rsid w:val="00BC3D62"/>
    <w:rsid w:val="00BF1A53"/>
    <w:rsid w:val="00BF7B77"/>
    <w:rsid w:val="00C1521A"/>
    <w:rsid w:val="00F06280"/>
    <w:rsid w:val="00F2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1BF305"/>
  <w15:docId w15:val="{1FB4FAB7-0DA9-EC4C-A31F-6CB73AD0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Dutheil</dc:creator>
  <cp:keywords/>
  <dc:description/>
  <cp:lastModifiedBy>Camille Dutheil</cp:lastModifiedBy>
  <cp:revision>2</cp:revision>
  <dcterms:created xsi:type="dcterms:W3CDTF">2021-10-20T14:37:00Z</dcterms:created>
  <dcterms:modified xsi:type="dcterms:W3CDTF">2021-10-27T09:26:00Z</dcterms:modified>
</cp:coreProperties>
</file>