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6E2F3" w14:textId="77777777" w:rsidR="008A3457" w:rsidRPr="000D16F8" w:rsidRDefault="000D16F8" w:rsidP="000D16F8">
      <w:pPr>
        <w:jc w:val="center"/>
        <w:rPr>
          <w:rFonts w:ascii="Garamond" w:hAnsi="Garamond"/>
          <w:b/>
        </w:rPr>
      </w:pPr>
      <w:r w:rsidRPr="000D16F8">
        <w:rPr>
          <w:rFonts w:ascii="Garamond" w:hAnsi="Garamond"/>
          <w:b/>
        </w:rPr>
        <w:t>CORRECTION EXAM BLANC DGO</w:t>
      </w:r>
    </w:p>
    <w:p w14:paraId="4F2D5221" w14:textId="77777777" w:rsidR="000D16F8" w:rsidRPr="000D16F8" w:rsidRDefault="000D16F8" w:rsidP="000D16F8">
      <w:pPr>
        <w:jc w:val="both"/>
        <w:rPr>
          <w:rFonts w:ascii="Garamond" w:hAnsi="Garamond"/>
        </w:rPr>
      </w:pPr>
    </w:p>
    <w:p w14:paraId="18B48B44" w14:textId="77777777" w:rsidR="000D16F8" w:rsidRPr="000D16F8" w:rsidRDefault="000D16F8" w:rsidP="000D16F8">
      <w:pPr>
        <w:jc w:val="both"/>
        <w:rPr>
          <w:rFonts w:ascii="Garamond" w:hAnsi="Garamond"/>
        </w:rPr>
      </w:pPr>
    </w:p>
    <w:p w14:paraId="614F69EC" w14:textId="77777777" w:rsidR="000D16F8" w:rsidRDefault="000D16F8" w:rsidP="000D16F8">
      <w:pPr>
        <w:jc w:val="both"/>
        <w:rPr>
          <w:rFonts w:ascii="Garamond" w:hAnsi="Garamond"/>
        </w:rPr>
      </w:pPr>
      <w:r>
        <w:rPr>
          <w:rFonts w:ascii="Garamond" w:hAnsi="Garamond"/>
        </w:rPr>
        <w:t xml:space="preserve">Des contrats de réservations ont alors été conclu entre la SNC et les réservataires, qui ont alors versé un dépôt de garantie, de 2000 à janvier 2002. Suite à cela </w:t>
      </w:r>
      <w:r w:rsidRPr="000D16F8">
        <w:rPr>
          <w:rFonts w:ascii="Garamond" w:hAnsi="Garamond"/>
        </w:rPr>
        <w:t>la S</w:t>
      </w:r>
      <w:r>
        <w:rPr>
          <w:rFonts w:ascii="Garamond" w:hAnsi="Garamond"/>
        </w:rPr>
        <w:t>N</w:t>
      </w:r>
      <w:r w:rsidRPr="000D16F8">
        <w:rPr>
          <w:rFonts w:ascii="Garamond" w:hAnsi="Garamond"/>
        </w:rPr>
        <w:t>C dépose une demande de permis de construire pour construction de maisons d’</w:t>
      </w:r>
      <w:r>
        <w:rPr>
          <w:rFonts w:ascii="Garamond" w:hAnsi="Garamond"/>
        </w:rPr>
        <w:t xml:space="preserve">habitation, qui a été délivré puis a fait l’objet d’une requête en annulation, avant d’être finalement devenu définitif. Néanmoins, la SCN, en janvier 2003, retourne les dépôts de garantie aux différents réservataires. </w:t>
      </w:r>
    </w:p>
    <w:p w14:paraId="3E9F61BE" w14:textId="77777777" w:rsidR="000D16F8" w:rsidRDefault="000D16F8" w:rsidP="000D16F8">
      <w:pPr>
        <w:jc w:val="both"/>
        <w:rPr>
          <w:rFonts w:ascii="Garamond" w:hAnsi="Garamond"/>
        </w:rPr>
      </w:pPr>
    </w:p>
    <w:p w14:paraId="03759C28" w14:textId="77777777" w:rsidR="000D16F8" w:rsidRDefault="000D16F8" w:rsidP="000D16F8">
      <w:pPr>
        <w:jc w:val="both"/>
        <w:rPr>
          <w:rFonts w:ascii="Garamond" w:hAnsi="Garamond"/>
        </w:rPr>
      </w:pPr>
      <w:r>
        <w:rPr>
          <w:rFonts w:ascii="Garamond" w:hAnsi="Garamond"/>
        </w:rPr>
        <w:t xml:space="preserve">Suite à cela ces derniers assignent dont la SNC (ainsi que la société </w:t>
      </w:r>
      <w:proofErr w:type="spellStart"/>
      <w:r>
        <w:rPr>
          <w:rFonts w:ascii="Garamond" w:hAnsi="Garamond"/>
        </w:rPr>
        <w:t>Constructa</w:t>
      </w:r>
      <w:proofErr w:type="spellEnd"/>
      <w:r>
        <w:rPr>
          <w:rFonts w:ascii="Garamond" w:hAnsi="Garamond"/>
        </w:rPr>
        <w:t xml:space="preserve">, intermédiaire à la réservation) en perfection des ventes et attribution de DI, sur le fondement de l’article 1134 du Code civil. </w:t>
      </w:r>
    </w:p>
    <w:p w14:paraId="51F44DBF" w14:textId="77777777" w:rsidR="000D16F8" w:rsidRDefault="000D16F8" w:rsidP="000D16F8">
      <w:pPr>
        <w:jc w:val="both"/>
        <w:rPr>
          <w:rFonts w:ascii="Garamond" w:hAnsi="Garamond"/>
        </w:rPr>
      </w:pPr>
      <w:r>
        <w:rPr>
          <w:rFonts w:ascii="Garamond" w:hAnsi="Garamond"/>
        </w:rPr>
        <w:t xml:space="preserve">La Cour d’appel d’Aix en Provence, par un arrêt du 22 avril 2010 va débouter les demandeurs, considérant que la résiliation par la SNC avait été faites pour des motifs légitimes et de bonne foi. </w:t>
      </w:r>
    </w:p>
    <w:p w14:paraId="24578077" w14:textId="77777777" w:rsidR="000D16F8" w:rsidRDefault="000D16F8" w:rsidP="000D16F8">
      <w:pPr>
        <w:jc w:val="both"/>
        <w:rPr>
          <w:rFonts w:ascii="Garamond" w:hAnsi="Garamond"/>
        </w:rPr>
      </w:pPr>
      <w:r>
        <w:rPr>
          <w:rFonts w:ascii="Garamond" w:hAnsi="Garamond"/>
        </w:rPr>
        <w:t>Les réservataires vont ainsi former un pourvoi en cassation.</w:t>
      </w:r>
    </w:p>
    <w:p w14:paraId="4BE8142B" w14:textId="77777777" w:rsidR="000D16F8" w:rsidRDefault="000D16F8" w:rsidP="000D16F8">
      <w:pPr>
        <w:jc w:val="both"/>
        <w:rPr>
          <w:rFonts w:ascii="Garamond" w:hAnsi="Garamond"/>
        </w:rPr>
      </w:pPr>
    </w:p>
    <w:p w14:paraId="215AA5A4" w14:textId="77777777" w:rsidR="000D16F8" w:rsidRDefault="000D16F8" w:rsidP="000D16F8">
      <w:pPr>
        <w:jc w:val="both"/>
        <w:rPr>
          <w:rFonts w:ascii="Garamond" w:hAnsi="Garamond"/>
        </w:rPr>
      </w:pPr>
      <w:r>
        <w:rPr>
          <w:rFonts w:ascii="Garamond" w:hAnsi="Garamond"/>
        </w:rPr>
        <w:t xml:space="preserve">PROBLEME : Les contrats de réservation peuvent-il faire conduire à l’exécution forcée de la vente ? </w:t>
      </w:r>
    </w:p>
    <w:p w14:paraId="2D914D43" w14:textId="77777777" w:rsidR="000D16F8" w:rsidRDefault="000D16F8" w:rsidP="000D16F8">
      <w:pPr>
        <w:jc w:val="both"/>
        <w:rPr>
          <w:rFonts w:ascii="Garamond" w:hAnsi="Garamond"/>
        </w:rPr>
      </w:pPr>
    </w:p>
    <w:p w14:paraId="2EB4ED42" w14:textId="08A69130" w:rsidR="000D16F8" w:rsidRDefault="000D16F8" w:rsidP="000D16F8">
      <w:pPr>
        <w:jc w:val="both"/>
        <w:rPr>
          <w:rFonts w:ascii="Garamond" w:hAnsi="Garamond"/>
        </w:rPr>
      </w:pPr>
    </w:p>
    <w:p w14:paraId="3F5E6363" w14:textId="77777777" w:rsidR="005052E1" w:rsidRDefault="005052E1" w:rsidP="000D16F8">
      <w:pPr>
        <w:jc w:val="both"/>
        <w:rPr>
          <w:rFonts w:ascii="Garamond" w:hAnsi="Garamond"/>
        </w:rPr>
      </w:pPr>
      <w:bookmarkStart w:id="0" w:name="_GoBack"/>
      <w:bookmarkEnd w:id="0"/>
    </w:p>
    <w:p w14:paraId="6DFEC98D" w14:textId="77777777" w:rsidR="000D16F8" w:rsidRPr="000D16F8" w:rsidRDefault="000D16F8" w:rsidP="000D16F8">
      <w:pPr>
        <w:pStyle w:val="Pardeliste"/>
        <w:numPr>
          <w:ilvl w:val="0"/>
          <w:numId w:val="1"/>
        </w:numPr>
        <w:jc w:val="both"/>
        <w:rPr>
          <w:rFonts w:ascii="Garamond" w:hAnsi="Garamond"/>
          <w:b/>
          <w:u w:val="single"/>
        </w:rPr>
      </w:pPr>
      <w:r w:rsidRPr="000D16F8">
        <w:rPr>
          <w:rFonts w:ascii="Garamond" w:hAnsi="Garamond"/>
          <w:b/>
          <w:u w:val="single"/>
        </w:rPr>
        <w:t xml:space="preserve">L’assimilation du contrat de réservation au pacte de préférence </w:t>
      </w:r>
    </w:p>
    <w:p w14:paraId="6287187D" w14:textId="77777777" w:rsidR="000D16F8" w:rsidRDefault="000D16F8" w:rsidP="000D16F8">
      <w:pPr>
        <w:jc w:val="both"/>
        <w:rPr>
          <w:rFonts w:ascii="Garamond" w:hAnsi="Garamond"/>
        </w:rPr>
      </w:pPr>
    </w:p>
    <w:p w14:paraId="73C34D65" w14:textId="77777777" w:rsidR="000D16F8" w:rsidRPr="000D16F8" w:rsidRDefault="000D16F8" w:rsidP="000D16F8">
      <w:pPr>
        <w:pStyle w:val="Pardeliste"/>
        <w:numPr>
          <w:ilvl w:val="0"/>
          <w:numId w:val="2"/>
        </w:numPr>
        <w:jc w:val="both"/>
        <w:rPr>
          <w:rFonts w:ascii="Garamond" w:hAnsi="Garamond"/>
          <w:b/>
        </w:rPr>
      </w:pPr>
      <w:r w:rsidRPr="000D16F8">
        <w:rPr>
          <w:rFonts w:ascii="Garamond" w:hAnsi="Garamond"/>
          <w:b/>
        </w:rPr>
        <w:t>La qualification dégagée d’un pacte de préférence</w:t>
      </w:r>
    </w:p>
    <w:p w14:paraId="267D21AA" w14:textId="77777777" w:rsidR="000D16F8" w:rsidRDefault="000D16F8" w:rsidP="000D16F8">
      <w:pPr>
        <w:jc w:val="both"/>
        <w:rPr>
          <w:rFonts w:ascii="Garamond" w:hAnsi="Garamond"/>
        </w:rPr>
      </w:pPr>
    </w:p>
    <w:p w14:paraId="298147E8" w14:textId="3B31C36D" w:rsidR="000D16F8" w:rsidRDefault="002006FA" w:rsidP="000D16F8">
      <w:pPr>
        <w:pStyle w:val="Pardeliste"/>
        <w:numPr>
          <w:ilvl w:val="0"/>
          <w:numId w:val="3"/>
        </w:numPr>
        <w:jc w:val="both"/>
        <w:rPr>
          <w:rFonts w:ascii="Garamond" w:hAnsi="Garamond"/>
        </w:rPr>
      </w:pPr>
      <w:r>
        <w:rPr>
          <w:rFonts w:ascii="Garamond" w:hAnsi="Garamond"/>
        </w:rPr>
        <w:t>L’exclusion manifeste de la qualification de promesse unilatérale</w:t>
      </w:r>
    </w:p>
    <w:p w14:paraId="1D4B064A" w14:textId="77777777" w:rsidR="00A8117E" w:rsidRDefault="00A8117E" w:rsidP="00A8117E">
      <w:pPr>
        <w:jc w:val="both"/>
        <w:rPr>
          <w:rFonts w:ascii="Garamond" w:hAnsi="Garamond"/>
        </w:rPr>
      </w:pPr>
    </w:p>
    <w:p w14:paraId="606484B2" w14:textId="77777777" w:rsidR="002006FA" w:rsidRDefault="002006FA" w:rsidP="002006FA">
      <w:pPr>
        <w:jc w:val="both"/>
        <w:rPr>
          <w:rFonts w:ascii="Garamond" w:hAnsi="Garamond"/>
        </w:rPr>
      </w:pPr>
      <w:r>
        <w:rPr>
          <w:rFonts w:ascii="Garamond" w:hAnsi="Garamond"/>
        </w:rPr>
        <w:t xml:space="preserve">Pas d’engagement de vendre en </w:t>
      </w:r>
      <w:proofErr w:type="gramStart"/>
      <w:r>
        <w:rPr>
          <w:rFonts w:ascii="Garamond" w:hAnsi="Garamond"/>
        </w:rPr>
        <w:t>PDP  ≠</w:t>
      </w:r>
      <w:proofErr w:type="gramEnd"/>
      <w:r>
        <w:rPr>
          <w:rFonts w:ascii="Garamond" w:hAnsi="Garamond"/>
        </w:rPr>
        <w:t xml:space="preserve"> promesse unilatérale = engagement du promettant</w:t>
      </w:r>
    </w:p>
    <w:p w14:paraId="0B4395DB" w14:textId="559AB414" w:rsidR="002006FA" w:rsidRDefault="002006FA" w:rsidP="002006FA">
      <w:pPr>
        <w:jc w:val="both"/>
        <w:rPr>
          <w:rFonts w:ascii="Garamond" w:hAnsi="Garamond"/>
        </w:rPr>
      </w:pPr>
      <w:r>
        <w:rPr>
          <w:rFonts w:ascii="Garamond" w:hAnsi="Garamond"/>
        </w:rPr>
        <w:t xml:space="preserve">A priori n’a donc pas les mêmes conséquences, notamment au regard des facultés de rétractation et réparation subséquentes. </w:t>
      </w:r>
      <w:proofErr w:type="gramStart"/>
      <w:r>
        <w:rPr>
          <w:rFonts w:ascii="Garamond" w:hAnsi="Garamond"/>
        </w:rPr>
        <w:t>( pas</w:t>
      </w:r>
      <w:proofErr w:type="gramEnd"/>
      <w:r>
        <w:rPr>
          <w:rFonts w:ascii="Garamond" w:hAnsi="Garamond"/>
        </w:rPr>
        <w:t xml:space="preserve"> d’exécution forcée à la vente)</w:t>
      </w:r>
    </w:p>
    <w:p w14:paraId="3AD8A955" w14:textId="77777777" w:rsidR="002006FA" w:rsidRDefault="002006FA" w:rsidP="002006FA">
      <w:pPr>
        <w:jc w:val="both"/>
        <w:rPr>
          <w:rFonts w:ascii="Garamond" w:hAnsi="Garamond"/>
        </w:rPr>
      </w:pPr>
      <w:r>
        <w:rPr>
          <w:rFonts w:ascii="Garamond" w:hAnsi="Garamond"/>
        </w:rPr>
        <w:t>En l’espèce : en admettant que SNC ne s’engageait pas à vendre : exclut d’office la qualification de la promesse unilatérale et rapproche davantage la situation d’un pacte de préférence.</w:t>
      </w:r>
    </w:p>
    <w:p w14:paraId="303C14A5" w14:textId="77777777" w:rsidR="00A8117E" w:rsidRPr="00A8117E" w:rsidRDefault="00A8117E" w:rsidP="00A8117E">
      <w:pPr>
        <w:jc w:val="both"/>
        <w:rPr>
          <w:rFonts w:ascii="Garamond" w:hAnsi="Garamond"/>
        </w:rPr>
      </w:pPr>
    </w:p>
    <w:p w14:paraId="5FB05E41" w14:textId="05D9C431" w:rsidR="000D16F8" w:rsidRDefault="002006FA" w:rsidP="000D16F8">
      <w:pPr>
        <w:pStyle w:val="Pardeliste"/>
        <w:numPr>
          <w:ilvl w:val="0"/>
          <w:numId w:val="3"/>
        </w:numPr>
        <w:jc w:val="both"/>
        <w:rPr>
          <w:rFonts w:ascii="Garamond" w:hAnsi="Garamond"/>
        </w:rPr>
      </w:pPr>
      <w:r>
        <w:rPr>
          <w:rFonts w:ascii="Garamond" w:hAnsi="Garamond"/>
        </w:rPr>
        <w:t xml:space="preserve">Le possible rapprochement au pacte de préférence </w:t>
      </w:r>
    </w:p>
    <w:p w14:paraId="0C1CCEB0" w14:textId="77777777" w:rsidR="000D16F8" w:rsidRDefault="000D16F8" w:rsidP="000D16F8">
      <w:pPr>
        <w:jc w:val="both"/>
        <w:rPr>
          <w:rFonts w:ascii="Garamond" w:hAnsi="Garamond"/>
        </w:rPr>
      </w:pPr>
    </w:p>
    <w:p w14:paraId="17467F49" w14:textId="77777777" w:rsidR="002006FA" w:rsidRDefault="002006FA" w:rsidP="002006FA">
      <w:pPr>
        <w:jc w:val="both"/>
        <w:rPr>
          <w:rFonts w:ascii="Garamond" w:hAnsi="Garamond"/>
        </w:rPr>
      </w:pPr>
      <w:r>
        <w:rPr>
          <w:rFonts w:ascii="Garamond" w:hAnsi="Garamond"/>
        </w:rPr>
        <w:t xml:space="preserve">Définition prétorienne du pacte de préférence – avant contrat – droit de préemption – obligation de faire </w:t>
      </w:r>
    </w:p>
    <w:p w14:paraId="068DC739" w14:textId="77777777" w:rsidR="002006FA" w:rsidRDefault="002006FA" w:rsidP="002006FA">
      <w:pPr>
        <w:jc w:val="both"/>
        <w:rPr>
          <w:rFonts w:ascii="Garamond" w:hAnsi="Garamond"/>
        </w:rPr>
      </w:pPr>
      <w:r>
        <w:rPr>
          <w:rFonts w:ascii="Garamond" w:hAnsi="Garamond"/>
        </w:rPr>
        <w:t>Arrêt de 2018 : confirmation et consécration de l’engagement du promettant</w:t>
      </w:r>
    </w:p>
    <w:p w14:paraId="2AFB4858" w14:textId="55536C94" w:rsidR="002006FA" w:rsidRDefault="002006FA" w:rsidP="002006FA">
      <w:pPr>
        <w:jc w:val="both"/>
        <w:rPr>
          <w:rFonts w:ascii="Garamond" w:hAnsi="Garamond"/>
        </w:rPr>
      </w:pPr>
      <w:r>
        <w:rPr>
          <w:rFonts w:ascii="Garamond" w:hAnsi="Garamond"/>
        </w:rPr>
        <w:t xml:space="preserve">Ici il s’agit d’un contrat préliminaire de réservation qui est un avant contrat dit </w:t>
      </w:r>
      <w:r>
        <w:rPr>
          <w:rFonts w:ascii="Garamond" w:hAnsi="Garamond"/>
          <w:i/>
        </w:rPr>
        <w:t>sui generis</w:t>
      </w:r>
      <w:r>
        <w:rPr>
          <w:rFonts w:ascii="Garamond" w:hAnsi="Garamond"/>
        </w:rPr>
        <w:t xml:space="preserve"> : obligations réciproques : le vendeur s’engage à réserver la vente à un acquéreur potentiel en échange d’un dépôt de garantie. </w:t>
      </w:r>
    </w:p>
    <w:p w14:paraId="5663FFA6" w14:textId="004339F9" w:rsidR="002006FA" w:rsidRPr="002006FA" w:rsidRDefault="002006FA" w:rsidP="002006FA">
      <w:pPr>
        <w:jc w:val="both"/>
        <w:rPr>
          <w:rFonts w:ascii="Garamond" w:hAnsi="Garamond"/>
        </w:rPr>
      </w:pPr>
      <w:r>
        <w:rPr>
          <w:rFonts w:ascii="Garamond" w:hAnsi="Garamond"/>
        </w:rPr>
        <w:t xml:space="preserve">Il y a donc une « simple » obligation de faire, à savoir réserver, ainsi assimilable au PDP. </w:t>
      </w:r>
    </w:p>
    <w:p w14:paraId="56E537D4" w14:textId="77777777" w:rsidR="002006FA" w:rsidRDefault="002006FA" w:rsidP="000D16F8">
      <w:pPr>
        <w:jc w:val="both"/>
        <w:rPr>
          <w:rFonts w:ascii="Garamond" w:hAnsi="Garamond"/>
        </w:rPr>
      </w:pPr>
    </w:p>
    <w:p w14:paraId="4831FF11" w14:textId="466B11D5" w:rsidR="000D16F8" w:rsidRPr="000D16F8" w:rsidRDefault="000D16F8" w:rsidP="000D16F8">
      <w:pPr>
        <w:pStyle w:val="Pardeliste"/>
        <w:numPr>
          <w:ilvl w:val="0"/>
          <w:numId w:val="2"/>
        </w:numPr>
        <w:jc w:val="both"/>
        <w:rPr>
          <w:rFonts w:ascii="Garamond" w:hAnsi="Garamond"/>
          <w:b/>
        </w:rPr>
      </w:pPr>
      <w:r w:rsidRPr="000D16F8">
        <w:rPr>
          <w:rFonts w:ascii="Garamond" w:hAnsi="Garamond"/>
          <w:b/>
        </w:rPr>
        <w:t>Le régime du pacte de préférence applicable</w:t>
      </w:r>
      <w:r w:rsidR="002006FA">
        <w:rPr>
          <w:rFonts w:ascii="Garamond" w:hAnsi="Garamond"/>
          <w:b/>
        </w:rPr>
        <w:t> ?</w:t>
      </w:r>
    </w:p>
    <w:p w14:paraId="411313CE" w14:textId="77777777" w:rsidR="000D16F8" w:rsidRDefault="000D16F8" w:rsidP="000D16F8">
      <w:pPr>
        <w:jc w:val="both"/>
        <w:rPr>
          <w:rFonts w:ascii="Garamond" w:hAnsi="Garamond"/>
        </w:rPr>
      </w:pPr>
    </w:p>
    <w:p w14:paraId="13EB9D81" w14:textId="171D644F" w:rsidR="000D16F8" w:rsidRPr="002006FA" w:rsidRDefault="00EE5EFD" w:rsidP="002006FA">
      <w:pPr>
        <w:pStyle w:val="Pardeliste"/>
        <w:numPr>
          <w:ilvl w:val="0"/>
          <w:numId w:val="8"/>
        </w:numPr>
        <w:jc w:val="both"/>
        <w:rPr>
          <w:rFonts w:ascii="Garamond" w:hAnsi="Garamond"/>
        </w:rPr>
      </w:pPr>
      <w:r w:rsidRPr="002006FA">
        <w:rPr>
          <w:rFonts w:ascii="Garamond" w:hAnsi="Garamond"/>
        </w:rPr>
        <w:t>La précision d’une condition suspensive</w:t>
      </w:r>
    </w:p>
    <w:p w14:paraId="4A085C9C" w14:textId="77777777" w:rsidR="002006FA" w:rsidRDefault="002006FA" w:rsidP="002006FA">
      <w:pPr>
        <w:jc w:val="both"/>
        <w:rPr>
          <w:rFonts w:ascii="Garamond" w:hAnsi="Garamond"/>
        </w:rPr>
      </w:pPr>
    </w:p>
    <w:p w14:paraId="3DD59C05" w14:textId="3DE177DF" w:rsidR="002006FA" w:rsidRDefault="001E4EDE" w:rsidP="002006FA">
      <w:pPr>
        <w:jc w:val="both"/>
        <w:rPr>
          <w:rFonts w:ascii="Garamond" w:hAnsi="Garamond"/>
        </w:rPr>
      </w:pPr>
      <w:r>
        <w:rPr>
          <w:rFonts w:ascii="Garamond" w:hAnsi="Garamond"/>
        </w:rPr>
        <w:t xml:space="preserve">En l’espèce condition suspensive tenant à la construction ! En effet, en matière de VEFA, et la conclusion de contrats préliminaires de réservation, le vendeur potentiel (qui est en réalité un promoteur) ne s’engage pas à construire </w:t>
      </w:r>
      <w:r w:rsidRPr="001E4EDE">
        <w:rPr>
          <w:rFonts w:ascii="Garamond" w:hAnsi="Garamond"/>
        </w:rPr>
        <w:sym w:font="Wingdings" w:char="F0E8"/>
      </w:r>
      <w:r>
        <w:rPr>
          <w:rFonts w:ascii="Garamond" w:hAnsi="Garamond"/>
        </w:rPr>
        <w:t xml:space="preserve"> donc si pas de construction, ce n’est pas assimilable à une inexécution contractuelle et logiquement, pas de vente subséquente. </w:t>
      </w:r>
    </w:p>
    <w:p w14:paraId="4B0C9CA0" w14:textId="263410E3" w:rsidR="001E4EDE" w:rsidRDefault="001E4EDE" w:rsidP="002006FA">
      <w:pPr>
        <w:jc w:val="both"/>
        <w:rPr>
          <w:rFonts w:ascii="Garamond" w:hAnsi="Garamond"/>
        </w:rPr>
      </w:pPr>
      <w:r>
        <w:rPr>
          <w:rFonts w:ascii="Garamond" w:hAnsi="Garamond"/>
        </w:rPr>
        <w:lastRenderedPageBreak/>
        <w:t xml:space="preserve">Son obligation résulte donc « seulement » à proposer la vente aux réservataires dans l’hypothèse où </w:t>
      </w:r>
      <w:proofErr w:type="gramStart"/>
      <w:r>
        <w:rPr>
          <w:rFonts w:ascii="Garamond" w:hAnsi="Garamond"/>
        </w:rPr>
        <w:t>le</w:t>
      </w:r>
      <w:proofErr w:type="gramEnd"/>
      <w:r>
        <w:rPr>
          <w:rFonts w:ascii="Garamond" w:hAnsi="Garamond"/>
        </w:rPr>
        <w:t xml:space="preserve"> programme viendrait à se construire. Seulement dans ce cas DI </w:t>
      </w:r>
      <w:proofErr w:type="gramStart"/>
      <w:r>
        <w:rPr>
          <w:rFonts w:ascii="Garamond" w:hAnsi="Garamond"/>
        </w:rPr>
        <w:t>( donc</w:t>
      </w:r>
      <w:proofErr w:type="gramEnd"/>
      <w:r>
        <w:rPr>
          <w:rFonts w:ascii="Garamond" w:hAnsi="Garamond"/>
        </w:rPr>
        <w:t xml:space="preserve"> pas de réparation en nature </w:t>
      </w:r>
      <w:r>
        <w:rPr>
          <w:rFonts w:ascii="Garamond" w:hAnsi="Garamond"/>
          <w:i/>
        </w:rPr>
        <w:t>a priori</w:t>
      </w:r>
      <w:r>
        <w:rPr>
          <w:rFonts w:ascii="Garamond" w:hAnsi="Garamond"/>
        </w:rPr>
        <w:t xml:space="preserve"> – s’insère dans la logique des juges de préférer la réparation par équivalent) si pas de motifs légitimes au non respect de la priorité. </w:t>
      </w:r>
    </w:p>
    <w:p w14:paraId="4D34C5EA" w14:textId="77777777" w:rsidR="001E4EDE" w:rsidRPr="001E4EDE" w:rsidRDefault="001E4EDE" w:rsidP="002006FA">
      <w:pPr>
        <w:jc w:val="both"/>
        <w:rPr>
          <w:rFonts w:ascii="Garamond" w:hAnsi="Garamond"/>
        </w:rPr>
      </w:pPr>
    </w:p>
    <w:p w14:paraId="7F7F19A9" w14:textId="77777777" w:rsidR="002006FA" w:rsidRPr="002006FA" w:rsidRDefault="002006FA" w:rsidP="002006FA">
      <w:pPr>
        <w:jc w:val="both"/>
        <w:rPr>
          <w:rFonts w:ascii="Garamond" w:hAnsi="Garamond"/>
        </w:rPr>
      </w:pPr>
    </w:p>
    <w:p w14:paraId="51062545" w14:textId="1ABE180A" w:rsidR="000D16F8" w:rsidRPr="002006FA" w:rsidRDefault="00EE5EFD" w:rsidP="002006FA">
      <w:pPr>
        <w:pStyle w:val="Pardeliste"/>
        <w:numPr>
          <w:ilvl w:val="0"/>
          <w:numId w:val="8"/>
        </w:numPr>
        <w:jc w:val="both"/>
        <w:rPr>
          <w:rFonts w:ascii="Garamond" w:hAnsi="Garamond"/>
        </w:rPr>
      </w:pPr>
      <w:r w:rsidRPr="002006FA">
        <w:rPr>
          <w:rFonts w:ascii="Garamond" w:hAnsi="Garamond"/>
        </w:rPr>
        <w:t xml:space="preserve">L’apposition d’un délai </w:t>
      </w:r>
    </w:p>
    <w:p w14:paraId="46CF535E" w14:textId="77777777" w:rsidR="002006FA" w:rsidRPr="002006FA" w:rsidRDefault="002006FA" w:rsidP="002006FA">
      <w:pPr>
        <w:jc w:val="both"/>
        <w:rPr>
          <w:rFonts w:ascii="Garamond" w:hAnsi="Garamond"/>
        </w:rPr>
      </w:pPr>
    </w:p>
    <w:p w14:paraId="73D0A5E0" w14:textId="77777777" w:rsidR="000D16F8" w:rsidRDefault="000D16F8" w:rsidP="000D16F8">
      <w:pPr>
        <w:jc w:val="both"/>
        <w:rPr>
          <w:rFonts w:ascii="Garamond" w:hAnsi="Garamond"/>
        </w:rPr>
      </w:pPr>
    </w:p>
    <w:p w14:paraId="26786C1A" w14:textId="4D02CA05" w:rsidR="000D16F8" w:rsidRDefault="001E4EDE" w:rsidP="000D16F8">
      <w:pPr>
        <w:jc w:val="both"/>
        <w:rPr>
          <w:rFonts w:ascii="Garamond" w:hAnsi="Garamond"/>
        </w:rPr>
      </w:pPr>
      <w:r>
        <w:rPr>
          <w:rFonts w:ascii="Garamond" w:hAnsi="Garamond"/>
        </w:rPr>
        <w:t xml:space="preserve">A l’instar du PDP, possible apposition d’un délai </w:t>
      </w:r>
      <w:proofErr w:type="gramStart"/>
      <w:r>
        <w:rPr>
          <w:rFonts w:ascii="Garamond" w:hAnsi="Garamond"/>
        </w:rPr>
        <w:t xml:space="preserve">( </w:t>
      </w:r>
      <w:proofErr w:type="spellStart"/>
      <w:r>
        <w:rPr>
          <w:rFonts w:ascii="Garamond" w:hAnsi="Garamond"/>
        </w:rPr>
        <w:t>cf</w:t>
      </w:r>
      <w:proofErr w:type="spellEnd"/>
      <w:proofErr w:type="gramEnd"/>
      <w:r>
        <w:rPr>
          <w:rFonts w:ascii="Garamond" w:hAnsi="Garamond"/>
        </w:rPr>
        <w:t xml:space="preserve"> JP). </w:t>
      </w:r>
      <w:proofErr w:type="gramStart"/>
      <w:r>
        <w:rPr>
          <w:rFonts w:ascii="Garamond" w:hAnsi="Garamond"/>
        </w:rPr>
        <w:t>Ici ,</w:t>
      </w:r>
      <w:proofErr w:type="gramEnd"/>
      <w:r>
        <w:rPr>
          <w:rFonts w:ascii="Garamond" w:hAnsi="Garamond"/>
        </w:rPr>
        <w:t xml:space="preserve"> précisé que la réalisation de la vente devait intervenir après fourniture d’une garantie d’achèvement par le réservant + délai d’un an à compter de la signature du contrat de réservation ( entre 2000 et 2002 en l’espèce).</w:t>
      </w:r>
    </w:p>
    <w:p w14:paraId="7F0CEF10" w14:textId="1F2DD8A5" w:rsidR="001E4EDE" w:rsidRDefault="001E4EDE" w:rsidP="000D16F8">
      <w:pPr>
        <w:jc w:val="both"/>
        <w:rPr>
          <w:rFonts w:ascii="Garamond" w:hAnsi="Garamond"/>
        </w:rPr>
      </w:pPr>
      <w:r>
        <w:rPr>
          <w:rFonts w:ascii="Garamond" w:hAnsi="Garamond"/>
        </w:rPr>
        <w:t xml:space="preserve">Au delà de ce délai, le réservant n’est donc normalement plus engagé. </w:t>
      </w:r>
    </w:p>
    <w:p w14:paraId="570A29D8" w14:textId="469E5D4E" w:rsidR="001E4EDE" w:rsidRDefault="001E4EDE" w:rsidP="000D16F8">
      <w:pPr>
        <w:jc w:val="both"/>
        <w:rPr>
          <w:rFonts w:ascii="Garamond" w:hAnsi="Garamond"/>
        </w:rPr>
      </w:pPr>
      <w:r>
        <w:rPr>
          <w:rFonts w:ascii="Garamond" w:hAnsi="Garamond"/>
        </w:rPr>
        <w:t xml:space="preserve">C’est en 2003 que la SNC retourne les dépôts de garantie : dépassement du délai = caducité ? </w:t>
      </w:r>
    </w:p>
    <w:p w14:paraId="74D7E04F" w14:textId="77777777" w:rsidR="000D16F8" w:rsidRDefault="000D16F8" w:rsidP="000D16F8">
      <w:pPr>
        <w:jc w:val="both"/>
        <w:rPr>
          <w:rFonts w:ascii="Garamond" w:hAnsi="Garamond"/>
        </w:rPr>
      </w:pPr>
    </w:p>
    <w:p w14:paraId="18C51FC0" w14:textId="77777777" w:rsidR="000D16F8" w:rsidRDefault="000D16F8" w:rsidP="000D16F8">
      <w:pPr>
        <w:pStyle w:val="Pardeliste"/>
        <w:numPr>
          <w:ilvl w:val="0"/>
          <w:numId w:val="1"/>
        </w:numPr>
        <w:jc w:val="both"/>
        <w:rPr>
          <w:rFonts w:ascii="Garamond" w:hAnsi="Garamond"/>
          <w:b/>
          <w:u w:val="single"/>
        </w:rPr>
      </w:pPr>
      <w:r w:rsidRPr="000D16F8">
        <w:rPr>
          <w:rFonts w:ascii="Garamond" w:hAnsi="Garamond"/>
          <w:b/>
          <w:u w:val="single"/>
        </w:rPr>
        <w:t xml:space="preserve">Les conséquences </w:t>
      </w:r>
      <w:r>
        <w:rPr>
          <w:rFonts w:ascii="Garamond" w:hAnsi="Garamond"/>
          <w:b/>
          <w:u w:val="single"/>
        </w:rPr>
        <w:t>pratiques</w:t>
      </w:r>
      <w:r w:rsidRPr="000D16F8">
        <w:rPr>
          <w:rFonts w:ascii="Garamond" w:hAnsi="Garamond"/>
          <w:b/>
          <w:u w:val="single"/>
        </w:rPr>
        <w:t xml:space="preserve"> de l’assimilation</w:t>
      </w:r>
    </w:p>
    <w:p w14:paraId="5D5FD5B3" w14:textId="77777777" w:rsidR="000D16F8" w:rsidRDefault="000D16F8" w:rsidP="000D16F8">
      <w:pPr>
        <w:jc w:val="both"/>
        <w:rPr>
          <w:rFonts w:ascii="Garamond" w:hAnsi="Garamond"/>
          <w:b/>
          <w:u w:val="single"/>
        </w:rPr>
      </w:pPr>
    </w:p>
    <w:p w14:paraId="409622C6" w14:textId="77777777" w:rsidR="000D16F8" w:rsidRDefault="000D16F8" w:rsidP="000D16F8">
      <w:pPr>
        <w:jc w:val="both"/>
        <w:rPr>
          <w:rFonts w:ascii="Garamond" w:hAnsi="Garamond"/>
          <w:b/>
          <w:u w:val="single"/>
        </w:rPr>
      </w:pPr>
    </w:p>
    <w:p w14:paraId="5AC0CB3D" w14:textId="77777777" w:rsidR="000D16F8" w:rsidRDefault="00EE5EFD" w:rsidP="000D16F8">
      <w:pPr>
        <w:pStyle w:val="Pardeliste"/>
        <w:numPr>
          <w:ilvl w:val="0"/>
          <w:numId w:val="5"/>
        </w:numPr>
        <w:jc w:val="both"/>
        <w:rPr>
          <w:rFonts w:ascii="Garamond" w:hAnsi="Garamond"/>
          <w:b/>
        </w:rPr>
      </w:pPr>
      <w:r>
        <w:rPr>
          <w:rFonts w:ascii="Garamond" w:hAnsi="Garamond"/>
          <w:b/>
        </w:rPr>
        <w:t>L’application de la caducité des contrats de réservation</w:t>
      </w:r>
    </w:p>
    <w:p w14:paraId="3141BDAD" w14:textId="77777777" w:rsidR="00EE5EFD" w:rsidRDefault="00EE5EFD" w:rsidP="00EE5EFD">
      <w:pPr>
        <w:jc w:val="both"/>
        <w:rPr>
          <w:rFonts w:ascii="Garamond" w:hAnsi="Garamond"/>
          <w:b/>
        </w:rPr>
      </w:pPr>
    </w:p>
    <w:p w14:paraId="42165982" w14:textId="77777777" w:rsidR="00EE5EFD" w:rsidRDefault="00EE5EFD" w:rsidP="00EE5EFD">
      <w:pPr>
        <w:jc w:val="both"/>
        <w:rPr>
          <w:rFonts w:ascii="Garamond" w:hAnsi="Garamond"/>
        </w:rPr>
      </w:pPr>
    </w:p>
    <w:p w14:paraId="6E74AAE3" w14:textId="7CEB74E8" w:rsidR="00EE5EFD" w:rsidRDefault="00135D10" w:rsidP="00EE5EFD">
      <w:pPr>
        <w:pStyle w:val="Pardeliste"/>
        <w:numPr>
          <w:ilvl w:val="0"/>
          <w:numId w:val="6"/>
        </w:numPr>
        <w:jc w:val="both"/>
        <w:rPr>
          <w:rFonts w:ascii="Garamond" w:hAnsi="Garamond"/>
        </w:rPr>
      </w:pPr>
      <w:r>
        <w:rPr>
          <w:rFonts w:ascii="Garamond" w:hAnsi="Garamond"/>
        </w:rPr>
        <w:t>La définition de la caducité</w:t>
      </w:r>
    </w:p>
    <w:p w14:paraId="6F3CB5A4" w14:textId="77777777" w:rsidR="001E4EDE" w:rsidRDefault="001E4EDE" w:rsidP="001E4EDE">
      <w:pPr>
        <w:jc w:val="both"/>
        <w:rPr>
          <w:rFonts w:ascii="Garamond" w:hAnsi="Garamond"/>
        </w:rPr>
      </w:pPr>
    </w:p>
    <w:p w14:paraId="446E665B" w14:textId="186CE9B7" w:rsidR="001E4EDE" w:rsidRDefault="001E4EDE" w:rsidP="001E4EDE">
      <w:pPr>
        <w:jc w:val="both"/>
        <w:rPr>
          <w:rFonts w:ascii="Garamond" w:hAnsi="Garamond"/>
        </w:rPr>
      </w:pPr>
      <w:r>
        <w:rPr>
          <w:rFonts w:ascii="Garamond" w:hAnsi="Garamond"/>
        </w:rPr>
        <w:t xml:space="preserve">Définition : </w:t>
      </w:r>
    </w:p>
    <w:p w14:paraId="36D4AFE6" w14:textId="77777777" w:rsidR="001E4EDE" w:rsidRDefault="001E4EDE" w:rsidP="001E4EDE">
      <w:pPr>
        <w:jc w:val="both"/>
        <w:rPr>
          <w:rFonts w:ascii="Garamond" w:hAnsi="Garamond"/>
        </w:rPr>
      </w:pPr>
    </w:p>
    <w:p w14:paraId="1C8BC15E" w14:textId="77777777" w:rsidR="001E4EDE" w:rsidRPr="001E4EDE" w:rsidRDefault="001E4EDE" w:rsidP="001E4EDE">
      <w:pPr>
        <w:jc w:val="both"/>
        <w:rPr>
          <w:rFonts w:ascii="Garamond" w:hAnsi="Garamond"/>
        </w:rPr>
      </w:pPr>
    </w:p>
    <w:p w14:paraId="0CCCBE6E" w14:textId="4F41B126" w:rsidR="00EE5EFD" w:rsidRDefault="00256EDA" w:rsidP="00EE5EFD">
      <w:pPr>
        <w:pStyle w:val="Pardeliste"/>
        <w:numPr>
          <w:ilvl w:val="0"/>
          <w:numId w:val="6"/>
        </w:numPr>
        <w:jc w:val="both"/>
        <w:rPr>
          <w:rFonts w:ascii="Garamond" w:hAnsi="Garamond"/>
        </w:rPr>
      </w:pPr>
      <w:r>
        <w:rPr>
          <w:rFonts w:ascii="Garamond" w:hAnsi="Garamond"/>
        </w:rPr>
        <w:t>Les conséquences de la caducité</w:t>
      </w:r>
    </w:p>
    <w:p w14:paraId="79ECBAB7" w14:textId="77777777" w:rsidR="00135D10" w:rsidRDefault="00135D10" w:rsidP="00135D10">
      <w:pPr>
        <w:jc w:val="both"/>
        <w:rPr>
          <w:rFonts w:ascii="Garamond" w:hAnsi="Garamond"/>
        </w:rPr>
      </w:pPr>
    </w:p>
    <w:p w14:paraId="5D59D9D4" w14:textId="341680F9" w:rsidR="00135D10" w:rsidRDefault="00256EDA" w:rsidP="00135D10">
      <w:pPr>
        <w:jc w:val="both"/>
        <w:rPr>
          <w:rFonts w:ascii="Garamond" w:hAnsi="Garamond"/>
        </w:rPr>
      </w:pPr>
      <w:r>
        <w:rPr>
          <w:rFonts w:ascii="Garamond" w:hAnsi="Garamond"/>
        </w:rPr>
        <w:t>Plus d’engagement du promettant : il n’y a pas de violation du contrat par le fait de ne pas réserver la vente aux réservataires</w:t>
      </w:r>
    </w:p>
    <w:p w14:paraId="58F5068F" w14:textId="21405670" w:rsidR="00256EDA" w:rsidRDefault="00256EDA" w:rsidP="00135D10">
      <w:pPr>
        <w:jc w:val="both"/>
        <w:rPr>
          <w:rFonts w:ascii="Garamond" w:hAnsi="Garamond"/>
        </w:rPr>
      </w:pPr>
      <w:r>
        <w:rPr>
          <w:rFonts w:ascii="Garamond" w:hAnsi="Garamond"/>
        </w:rPr>
        <w:tab/>
      </w:r>
      <w:r w:rsidRPr="00256EDA">
        <w:rPr>
          <w:rFonts w:ascii="Garamond" w:hAnsi="Garamond"/>
        </w:rPr>
        <w:sym w:font="Wingdings" w:char="F0E8"/>
      </w:r>
      <w:r>
        <w:rPr>
          <w:rFonts w:ascii="Garamond" w:hAnsi="Garamond"/>
        </w:rPr>
        <w:t xml:space="preserve"> pas de R </w:t>
      </w:r>
      <w:r w:rsidRPr="00256EDA">
        <w:rPr>
          <w:rFonts w:ascii="Garamond" w:hAnsi="Garamond"/>
        </w:rPr>
        <w:sym w:font="Wingdings" w:char="F0E8"/>
      </w:r>
      <w:r>
        <w:rPr>
          <w:rFonts w:ascii="Garamond" w:hAnsi="Garamond"/>
        </w:rPr>
        <w:t xml:space="preserve"> normalement pas de DI</w:t>
      </w:r>
    </w:p>
    <w:p w14:paraId="0EFDA7AE" w14:textId="71950BA6" w:rsidR="00256EDA" w:rsidRPr="00256EDA" w:rsidRDefault="00256EDA" w:rsidP="00256EDA">
      <w:pPr>
        <w:ind w:firstLine="708"/>
        <w:jc w:val="both"/>
        <w:rPr>
          <w:rFonts w:ascii="Garamond" w:hAnsi="Garamond"/>
        </w:rPr>
      </w:pPr>
      <w:r w:rsidRPr="00256EDA">
        <w:rPr>
          <w:rFonts w:ascii="Garamond" w:hAnsi="Garamond"/>
        </w:rPr>
        <w:sym w:font="Wingdings" w:char="F0E8"/>
      </w:r>
      <w:r>
        <w:rPr>
          <w:rFonts w:ascii="Garamond" w:hAnsi="Garamond"/>
        </w:rPr>
        <w:t xml:space="preserve"> </w:t>
      </w:r>
      <w:proofErr w:type="gramStart"/>
      <w:r>
        <w:rPr>
          <w:rFonts w:ascii="Garamond" w:hAnsi="Garamond"/>
        </w:rPr>
        <w:t>exécution</w:t>
      </w:r>
      <w:proofErr w:type="gramEnd"/>
      <w:r>
        <w:rPr>
          <w:rFonts w:ascii="Garamond" w:hAnsi="Garamond"/>
        </w:rPr>
        <w:t xml:space="preserve"> forcée logiquement impossible </w:t>
      </w:r>
      <w:r>
        <w:rPr>
          <w:rFonts w:ascii="Garamond" w:hAnsi="Garamond"/>
          <w:i/>
        </w:rPr>
        <w:t>a fortiori</w:t>
      </w:r>
    </w:p>
    <w:p w14:paraId="25D0AEAC" w14:textId="77777777" w:rsidR="00DB704F" w:rsidRDefault="00DB704F" w:rsidP="00135D10">
      <w:pPr>
        <w:jc w:val="both"/>
        <w:rPr>
          <w:rFonts w:ascii="Garamond" w:hAnsi="Garamond"/>
        </w:rPr>
      </w:pPr>
    </w:p>
    <w:p w14:paraId="25B22E18" w14:textId="77777777" w:rsidR="00EE5EFD" w:rsidRPr="00EE5EFD" w:rsidRDefault="00EE5EFD" w:rsidP="00EE5EFD">
      <w:pPr>
        <w:jc w:val="both"/>
        <w:rPr>
          <w:rFonts w:ascii="Garamond" w:hAnsi="Garamond"/>
          <w:b/>
        </w:rPr>
      </w:pPr>
    </w:p>
    <w:p w14:paraId="3F9F2809" w14:textId="77777777" w:rsidR="00EE5EFD" w:rsidRDefault="00EE5EFD" w:rsidP="000D16F8">
      <w:pPr>
        <w:pStyle w:val="Pardeliste"/>
        <w:numPr>
          <w:ilvl w:val="0"/>
          <w:numId w:val="5"/>
        </w:numPr>
        <w:jc w:val="both"/>
        <w:rPr>
          <w:rFonts w:ascii="Garamond" w:hAnsi="Garamond"/>
          <w:b/>
        </w:rPr>
      </w:pPr>
      <w:r>
        <w:rPr>
          <w:rFonts w:ascii="Garamond" w:hAnsi="Garamond"/>
          <w:b/>
        </w:rPr>
        <w:t>L’appréciation de la bonne foi dans le cadre des contrats de réservation</w:t>
      </w:r>
    </w:p>
    <w:p w14:paraId="57CFA886" w14:textId="77777777" w:rsidR="00EE5EFD" w:rsidRDefault="00EE5EFD" w:rsidP="00EE5EFD">
      <w:pPr>
        <w:jc w:val="both"/>
        <w:rPr>
          <w:rFonts w:ascii="Garamond" w:hAnsi="Garamond"/>
          <w:b/>
        </w:rPr>
      </w:pPr>
    </w:p>
    <w:p w14:paraId="548112EA" w14:textId="77777777" w:rsidR="00EE5EFD" w:rsidRDefault="00EE5EFD" w:rsidP="00EE5EFD">
      <w:pPr>
        <w:pStyle w:val="Pardeliste"/>
        <w:numPr>
          <w:ilvl w:val="0"/>
          <w:numId w:val="7"/>
        </w:numPr>
        <w:jc w:val="both"/>
        <w:rPr>
          <w:rFonts w:ascii="Garamond" w:hAnsi="Garamond"/>
        </w:rPr>
      </w:pPr>
      <w:r>
        <w:rPr>
          <w:rFonts w:ascii="Garamond" w:hAnsi="Garamond"/>
        </w:rPr>
        <w:t>La justification de l’appréciation de la bonne foi</w:t>
      </w:r>
    </w:p>
    <w:p w14:paraId="3C40D0CB" w14:textId="77777777" w:rsidR="00256EDA" w:rsidRDefault="00256EDA" w:rsidP="00DB704F">
      <w:pPr>
        <w:jc w:val="both"/>
        <w:rPr>
          <w:rFonts w:ascii="Garamond" w:hAnsi="Garamond"/>
        </w:rPr>
      </w:pPr>
    </w:p>
    <w:p w14:paraId="611C7ACE" w14:textId="72C023F8" w:rsidR="00DB704F" w:rsidRDefault="00256EDA" w:rsidP="00DB704F">
      <w:pPr>
        <w:jc w:val="both"/>
        <w:rPr>
          <w:rFonts w:ascii="Garamond" w:hAnsi="Garamond"/>
        </w:rPr>
      </w:pPr>
      <w:r>
        <w:rPr>
          <w:rFonts w:ascii="Garamond" w:hAnsi="Garamond"/>
        </w:rPr>
        <w:t xml:space="preserve">Cette prétention s’entend du fait que la réservation pourrait être prolongée au delà du délai de réalisation de la réservation : </w:t>
      </w:r>
      <w:proofErr w:type="spellStart"/>
      <w:r>
        <w:rPr>
          <w:rFonts w:ascii="Garamond" w:hAnsi="Garamond"/>
        </w:rPr>
        <w:t>cf</w:t>
      </w:r>
      <w:proofErr w:type="spellEnd"/>
      <w:r>
        <w:rPr>
          <w:rFonts w:ascii="Garamond" w:hAnsi="Garamond"/>
        </w:rPr>
        <w:t xml:space="preserve"> JP (impossible à avoir en conditions d’examen : </w:t>
      </w:r>
      <w:proofErr w:type="spellStart"/>
      <w:r>
        <w:rPr>
          <w:rFonts w:ascii="Garamond" w:hAnsi="Garamond"/>
        </w:rPr>
        <w:t>Civ</w:t>
      </w:r>
      <w:proofErr w:type="spellEnd"/>
      <w:r>
        <w:rPr>
          <w:rFonts w:ascii="Garamond" w:hAnsi="Garamond"/>
        </w:rPr>
        <w:t xml:space="preserve"> 3</w:t>
      </w:r>
      <w:r w:rsidRPr="00256EDA">
        <w:rPr>
          <w:rFonts w:ascii="Garamond" w:hAnsi="Garamond"/>
          <w:vertAlign w:val="superscript"/>
        </w:rPr>
        <w:t>ème</w:t>
      </w:r>
      <w:r>
        <w:rPr>
          <w:rFonts w:ascii="Garamond" w:hAnsi="Garamond"/>
        </w:rPr>
        <w:t xml:space="preserve">, 5 octobre </w:t>
      </w:r>
      <w:proofErr w:type="gramStart"/>
      <w:r>
        <w:rPr>
          <w:rFonts w:ascii="Garamond" w:hAnsi="Garamond"/>
        </w:rPr>
        <w:t>1982 )</w:t>
      </w:r>
      <w:proofErr w:type="gramEnd"/>
      <w:r>
        <w:rPr>
          <w:rFonts w:ascii="Garamond" w:hAnsi="Garamond"/>
        </w:rPr>
        <w:t xml:space="preserve"> – obligation de proposer le bien à l’acquisition même en cas de dépassement du délai prévu</w:t>
      </w:r>
    </w:p>
    <w:p w14:paraId="5030D169" w14:textId="77777777" w:rsidR="00256EDA" w:rsidRDefault="00256EDA" w:rsidP="00DB704F">
      <w:pPr>
        <w:jc w:val="both"/>
        <w:rPr>
          <w:rFonts w:ascii="Garamond" w:hAnsi="Garamond"/>
        </w:rPr>
      </w:pPr>
    </w:p>
    <w:p w14:paraId="7BDE8DC5" w14:textId="087814AE" w:rsidR="00256EDA" w:rsidRDefault="00256EDA" w:rsidP="00DB704F">
      <w:pPr>
        <w:jc w:val="both"/>
        <w:rPr>
          <w:rFonts w:ascii="Garamond" w:hAnsi="Garamond"/>
        </w:rPr>
      </w:pPr>
      <w:r>
        <w:rPr>
          <w:rFonts w:ascii="Garamond" w:hAnsi="Garamond"/>
        </w:rPr>
        <w:t>En somme : il faut être de bonne foi dans la mise en œuvre de la réservation</w:t>
      </w:r>
    </w:p>
    <w:p w14:paraId="03204808" w14:textId="77777777" w:rsidR="00256EDA" w:rsidRDefault="00256EDA" w:rsidP="00DB704F">
      <w:pPr>
        <w:jc w:val="both"/>
        <w:rPr>
          <w:rFonts w:ascii="Garamond" w:hAnsi="Garamond"/>
        </w:rPr>
      </w:pPr>
    </w:p>
    <w:p w14:paraId="01BE0C6B" w14:textId="00D151DC" w:rsidR="00256EDA" w:rsidRDefault="00256EDA" w:rsidP="00DB704F">
      <w:pPr>
        <w:jc w:val="both"/>
        <w:rPr>
          <w:rFonts w:ascii="Garamond" w:hAnsi="Garamond"/>
        </w:rPr>
      </w:pPr>
      <w:r>
        <w:rPr>
          <w:rFonts w:ascii="Garamond" w:hAnsi="Garamond"/>
        </w:rPr>
        <w:t xml:space="preserve">Ici rejet apparent de la solution par le juge mais en réalité, il semble que la CCASS ait apprécié de la légitimité du retrait de la réservation par le promettant : en somme la CA a bien fait son </w:t>
      </w:r>
      <w:proofErr w:type="spellStart"/>
      <w:r>
        <w:rPr>
          <w:rFonts w:ascii="Garamond" w:hAnsi="Garamond"/>
        </w:rPr>
        <w:t>taff</w:t>
      </w:r>
      <w:proofErr w:type="spellEnd"/>
      <w:r>
        <w:rPr>
          <w:rFonts w:ascii="Garamond" w:hAnsi="Garamond"/>
        </w:rPr>
        <w:t xml:space="preserve"> de vérification de la </w:t>
      </w:r>
      <w:proofErr w:type="gramStart"/>
      <w:r>
        <w:rPr>
          <w:rFonts w:ascii="Garamond" w:hAnsi="Garamond"/>
        </w:rPr>
        <w:t>justification .</w:t>
      </w:r>
      <w:proofErr w:type="gramEnd"/>
      <w:r>
        <w:rPr>
          <w:rFonts w:ascii="Garamond" w:hAnsi="Garamond"/>
        </w:rPr>
        <w:t xml:space="preserve"> </w:t>
      </w:r>
      <w:proofErr w:type="gramStart"/>
      <w:r>
        <w:rPr>
          <w:rFonts w:ascii="Garamond" w:hAnsi="Garamond"/>
        </w:rPr>
        <w:t>( en</w:t>
      </w:r>
      <w:proofErr w:type="gramEnd"/>
      <w:r>
        <w:rPr>
          <w:rFonts w:ascii="Garamond" w:hAnsi="Garamond"/>
        </w:rPr>
        <w:t xml:space="preserve"> somme, expiration du terme fixé dans le contrat suffisant). </w:t>
      </w:r>
    </w:p>
    <w:p w14:paraId="7B761AA9" w14:textId="77777777" w:rsidR="00DB704F" w:rsidRPr="00DB704F" w:rsidRDefault="00DB704F" w:rsidP="00DB704F">
      <w:pPr>
        <w:jc w:val="both"/>
        <w:rPr>
          <w:rFonts w:ascii="Garamond" w:hAnsi="Garamond"/>
        </w:rPr>
      </w:pPr>
    </w:p>
    <w:p w14:paraId="76BF8CF9" w14:textId="77777777" w:rsidR="00EE5EFD" w:rsidRDefault="00EE5EFD" w:rsidP="00EE5EFD">
      <w:pPr>
        <w:pStyle w:val="Pardeliste"/>
        <w:numPr>
          <w:ilvl w:val="0"/>
          <w:numId w:val="7"/>
        </w:numPr>
        <w:jc w:val="both"/>
        <w:rPr>
          <w:rFonts w:ascii="Garamond" w:hAnsi="Garamond"/>
        </w:rPr>
      </w:pPr>
      <w:r>
        <w:rPr>
          <w:rFonts w:ascii="Garamond" w:hAnsi="Garamond"/>
        </w:rPr>
        <w:t>La réaffirmation de l’appréciation au travers de la réforme du droit des contrats</w:t>
      </w:r>
    </w:p>
    <w:p w14:paraId="793E2834" w14:textId="77777777" w:rsidR="00256EDA" w:rsidRDefault="00256EDA" w:rsidP="00256EDA">
      <w:pPr>
        <w:jc w:val="both"/>
        <w:rPr>
          <w:rFonts w:ascii="Garamond" w:hAnsi="Garamond"/>
        </w:rPr>
      </w:pPr>
    </w:p>
    <w:p w14:paraId="3DBDE4C6" w14:textId="0786791A" w:rsidR="00256EDA" w:rsidRPr="00256EDA" w:rsidRDefault="0041748E" w:rsidP="00256EDA">
      <w:pPr>
        <w:jc w:val="both"/>
        <w:rPr>
          <w:rFonts w:ascii="Garamond" w:hAnsi="Garamond"/>
        </w:rPr>
      </w:pPr>
      <w:r>
        <w:rPr>
          <w:rFonts w:ascii="Garamond" w:hAnsi="Garamond"/>
        </w:rPr>
        <w:t>Nouvelle place de la BF dans la réforme : confirme cette idée de motif légitime</w:t>
      </w:r>
    </w:p>
    <w:sectPr w:rsidR="00256EDA" w:rsidRPr="00256EDA" w:rsidSect="000A2C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70EF"/>
    <w:multiLevelType w:val="hybridMultilevel"/>
    <w:tmpl w:val="F24A92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D05FED"/>
    <w:multiLevelType w:val="hybridMultilevel"/>
    <w:tmpl w:val="A7749C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2A705BE"/>
    <w:multiLevelType w:val="hybridMultilevel"/>
    <w:tmpl w:val="445E5DB2"/>
    <w:lvl w:ilvl="0" w:tplc="C43A5C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224718"/>
    <w:multiLevelType w:val="hybridMultilevel"/>
    <w:tmpl w:val="CB2617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B341E22"/>
    <w:multiLevelType w:val="hybridMultilevel"/>
    <w:tmpl w:val="E35497D4"/>
    <w:lvl w:ilvl="0" w:tplc="011CF7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9D0D49"/>
    <w:multiLevelType w:val="hybridMultilevel"/>
    <w:tmpl w:val="7F3C9F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F264C1"/>
    <w:multiLevelType w:val="hybridMultilevel"/>
    <w:tmpl w:val="EB280D56"/>
    <w:lvl w:ilvl="0" w:tplc="9DA083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6C606EEA"/>
    <w:multiLevelType w:val="hybridMultilevel"/>
    <w:tmpl w:val="96745BEA"/>
    <w:lvl w:ilvl="0" w:tplc="AF6C63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F8"/>
    <w:rsid w:val="000A2CAA"/>
    <w:rsid w:val="000D16F8"/>
    <w:rsid w:val="00135D10"/>
    <w:rsid w:val="001E4EDE"/>
    <w:rsid w:val="001F7E0A"/>
    <w:rsid w:val="002006FA"/>
    <w:rsid w:val="00256EDA"/>
    <w:rsid w:val="0041748E"/>
    <w:rsid w:val="005052E1"/>
    <w:rsid w:val="009D31B5"/>
    <w:rsid w:val="00A8117E"/>
    <w:rsid w:val="00B32260"/>
    <w:rsid w:val="00DB704F"/>
    <w:rsid w:val="00EE5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751A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0D1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753</Words>
  <Characters>4144</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cp:revision>
  <cp:lastPrinted>2019-11-08T16:48:00Z</cp:lastPrinted>
  <dcterms:created xsi:type="dcterms:W3CDTF">2019-10-31T09:45:00Z</dcterms:created>
  <dcterms:modified xsi:type="dcterms:W3CDTF">2019-11-10T16:19:00Z</dcterms:modified>
</cp:coreProperties>
</file>