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C8995" w14:textId="77777777" w:rsidR="00883AFC" w:rsidRDefault="00883AFC"/>
    <w:p w14:paraId="2E26DC1E" w14:textId="77777777" w:rsidR="00336912" w:rsidRDefault="00336912"/>
    <w:p w14:paraId="23D72D36" w14:textId="77777777" w:rsidR="00C16F29" w:rsidRDefault="00C16F29" w:rsidP="00C16F29"/>
    <w:p w14:paraId="10EE40F2" w14:textId="77777777" w:rsidR="00C16F29" w:rsidRDefault="00C16F29" w:rsidP="00C16F29">
      <w:pPr>
        <w:pStyle w:val="Style1"/>
      </w:pPr>
      <w:r>
        <w:t>Séance 2 : L’inexécution du contrat</w:t>
      </w:r>
    </w:p>
    <w:p w14:paraId="1F3E2C9A" w14:textId="77777777" w:rsidR="00C16F29" w:rsidRDefault="00C16F29" w:rsidP="00C16F29">
      <w:pPr>
        <w:tabs>
          <w:tab w:val="left" w:pos="6543"/>
        </w:tabs>
      </w:pPr>
    </w:p>
    <w:p w14:paraId="136D624B" w14:textId="77777777" w:rsidR="006D4220" w:rsidRDefault="006D4220" w:rsidP="00C16F29">
      <w:pPr>
        <w:tabs>
          <w:tab w:val="left" w:pos="6543"/>
        </w:tabs>
      </w:pPr>
    </w:p>
    <w:p w14:paraId="2F41DBA0" w14:textId="77777777" w:rsidR="00191B18" w:rsidRDefault="00191B18" w:rsidP="00191B18">
      <w:pPr>
        <w:tabs>
          <w:tab w:val="left" w:pos="6543"/>
        </w:tabs>
      </w:pPr>
      <w:r>
        <w:t xml:space="preserve">Rappel de cours : </w:t>
      </w:r>
    </w:p>
    <w:p w14:paraId="0C934E23" w14:textId="77777777" w:rsidR="00191B18" w:rsidRDefault="00191B18"/>
    <w:p w14:paraId="0A29535C" w14:textId="77777777" w:rsidR="00191B18" w:rsidRDefault="00191B18" w:rsidP="003C0B77">
      <w:pPr>
        <w:spacing w:line="288" w:lineRule="auto"/>
        <w:jc w:val="both"/>
      </w:pPr>
      <w:r>
        <w:t xml:space="preserve">Le contrat, </w:t>
      </w:r>
      <w:r w:rsidRPr="003C0B77">
        <w:rPr>
          <w:b/>
        </w:rPr>
        <w:t>valablement conclu</w:t>
      </w:r>
      <w:r>
        <w:t xml:space="preserve"> doit-être exécuté (Article 1131, alinéa 1</w:t>
      </w:r>
      <w:r w:rsidRPr="00191B18">
        <w:rPr>
          <w:vertAlign w:val="superscript"/>
        </w:rPr>
        <w:t>er</w:t>
      </w:r>
      <w:r>
        <w:t xml:space="preserve"> </w:t>
      </w:r>
      <w:proofErr w:type="spellStart"/>
      <w:r>
        <w:t>anc</w:t>
      </w:r>
      <w:proofErr w:type="spellEnd"/>
      <w:r>
        <w:t>, et 1103 nouveau) par les parties, elles ne peuvent revenir sur ses stipulations à moins d’y consentir mutuellement (</w:t>
      </w:r>
      <w:proofErr w:type="spellStart"/>
      <w:r w:rsidRPr="003C0B77">
        <w:rPr>
          <w:i/>
        </w:rPr>
        <w:t>mutuus</w:t>
      </w:r>
      <w:proofErr w:type="spellEnd"/>
      <w:r w:rsidRPr="003C0B77">
        <w:rPr>
          <w:i/>
        </w:rPr>
        <w:t xml:space="preserve"> </w:t>
      </w:r>
      <w:proofErr w:type="spellStart"/>
      <w:r w:rsidRPr="003C0B77">
        <w:rPr>
          <w:i/>
        </w:rPr>
        <w:t>dicensus</w:t>
      </w:r>
      <w:proofErr w:type="spellEnd"/>
      <w:r>
        <w:t>, article 1134 alinéa 2, nouvellement article 1193 alinéa 2) ou d’en  être autorisé par la loi.</w:t>
      </w:r>
    </w:p>
    <w:p w14:paraId="6E6F9E33" w14:textId="77777777" w:rsidR="00191B18" w:rsidRDefault="00191B18" w:rsidP="003C0B77">
      <w:pPr>
        <w:spacing w:line="288" w:lineRule="auto"/>
        <w:jc w:val="both"/>
      </w:pPr>
    </w:p>
    <w:p w14:paraId="4B150A0E" w14:textId="77777777" w:rsidR="00191B18" w:rsidRDefault="00191B18" w:rsidP="003C0B77">
      <w:pPr>
        <w:spacing w:line="288" w:lineRule="auto"/>
        <w:jc w:val="both"/>
      </w:pPr>
      <w:r>
        <w:t xml:space="preserve">On parle donc d’inexécution du contrat en cas de </w:t>
      </w:r>
      <w:r w:rsidRPr="003C0B77">
        <w:rPr>
          <w:b/>
        </w:rPr>
        <w:t>défaut d’exécution</w:t>
      </w:r>
      <w:r>
        <w:t xml:space="preserve"> ou de </w:t>
      </w:r>
      <w:r w:rsidRPr="003C0B77">
        <w:rPr>
          <w:b/>
        </w:rPr>
        <w:t>mauvaise exécution</w:t>
      </w:r>
      <w:r>
        <w:t xml:space="preserve"> par l’une ou l’autre des parties, des obligations convenues. </w:t>
      </w:r>
    </w:p>
    <w:p w14:paraId="012F9AEC" w14:textId="77777777" w:rsidR="003C0B77" w:rsidRDefault="003C0B77" w:rsidP="003C0B77">
      <w:pPr>
        <w:spacing w:line="288" w:lineRule="auto"/>
        <w:jc w:val="both"/>
      </w:pPr>
      <w:r>
        <w:t xml:space="preserve">Dans ce cas, le droit reconnaît la possibilité pour la victime d’obtenir réparation en engageant la </w:t>
      </w:r>
      <w:r w:rsidRPr="003C0B77">
        <w:rPr>
          <w:b/>
        </w:rPr>
        <w:t>responsabilité civile contractuelle</w:t>
      </w:r>
      <w:r>
        <w:t xml:space="preserve">. </w:t>
      </w:r>
    </w:p>
    <w:p w14:paraId="1A570F6D" w14:textId="77777777" w:rsidR="003C0B77" w:rsidRDefault="003C0B77" w:rsidP="003C0B77">
      <w:pPr>
        <w:spacing w:line="288" w:lineRule="auto"/>
        <w:jc w:val="both"/>
      </w:pPr>
    </w:p>
    <w:p w14:paraId="18F78B36" w14:textId="77777777" w:rsidR="003C0B77" w:rsidRDefault="003C0B77" w:rsidP="003C0B77">
      <w:pPr>
        <w:spacing w:line="288" w:lineRule="auto"/>
        <w:jc w:val="both"/>
      </w:pPr>
      <w:r>
        <w:t xml:space="preserve">Ses modalités de mise en œuvre varient selon la nature des obligations convenues, mais de manière générale 3 conditions préalables sont à réunir : </w:t>
      </w:r>
    </w:p>
    <w:p w14:paraId="6BA467F3" w14:textId="77777777" w:rsidR="003C0B77" w:rsidRDefault="003C0B77" w:rsidP="003C0B77">
      <w:pPr>
        <w:spacing w:line="288" w:lineRule="auto"/>
        <w:jc w:val="both"/>
      </w:pPr>
    </w:p>
    <w:p w14:paraId="1D34C8DB" w14:textId="77777777" w:rsidR="003C0B77" w:rsidRDefault="003C0B77" w:rsidP="003C0B77">
      <w:pPr>
        <w:spacing w:line="288" w:lineRule="auto"/>
        <w:jc w:val="both"/>
      </w:pPr>
      <w:r>
        <w:t xml:space="preserve">La caractérisation d’une </w:t>
      </w:r>
      <w:r w:rsidRPr="003C0B77">
        <w:rPr>
          <w:b/>
        </w:rPr>
        <w:t xml:space="preserve">faute, d’un préjudice et d’un lien de causalité </w:t>
      </w:r>
      <w:r>
        <w:t>unissant les deux.</w:t>
      </w:r>
    </w:p>
    <w:p w14:paraId="0D0A4743" w14:textId="77777777" w:rsidR="00191B18" w:rsidRDefault="00191B18"/>
    <w:p w14:paraId="5E5C96AD" w14:textId="77777777" w:rsidR="00191B18" w:rsidRDefault="00191B18">
      <w:r>
        <w:t>Selon la nature de</w:t>
      </w:r>
      <w:r w:rsidR="003C0B77">
        <w:t>s</w:t>
      </w:r>
      <w:r>
        <w:t xml:space="preserve"> obligations, la </w:t>
      </w:r>
      <w:r w:rsidR="003C0B77">
        <w:t xml:space="preserve">sanction de l’inexécution varie : </w:t>
      </w:r>
    </w:p>
    <w:p w14:paraId="210D53AD" w14:textId="77777777" w:rsidR="009A4399" w:rsidRDefault="003C0B77">
      <w:r>
        <w:t>Rappel sur le contenu de la distinction classique obligation de moyen</w:t>
      </w:r>
      <w:r w:rsidR="009A4399">
        <w:t xml:space="preserve"> (article 1137 ancien)</w:t>
      </w:r>
      <w:r>
        <w:t xml:space="preserve"> et de résultat </w:t>
      </w:r>
      <w:r w:rsidR="009A4399">
        <w:t xml:space="preserve">(article 1147 ancien) </w:t>
      </w:r>
      <w:r>
        <w:t xml:space="preserve">proposée par </w:t>
      </w:r>
      <w:r w:rsidRPr="00E20603">
        <w:rPr>
          <w:b/>
        </w:rPr>
        <w:t xml:space="preserve">R. </w:t>
      </w:r>
      <w:proofErr w:type="spellStart"/>
      <w:r w:rsidRPr="00E20603">
        <w:rPr>
          <w:b/>
        </w:rPr>
        <w:t>Demogue</w:t>
      </w:r>
      <w:proofErr w:type="spellEnd"/>
      <w:r w:rsidRPr="00E20603">
        <w:rPr>
          <w:b/>
        </w:rPr>
        <w:t> </w:t>
      </w:r>
      <w:r>
        <w:t xml:space="preserve">: </w:t>
      </w:r>
      <w:r w:rsidR="009A4399">
        <w:t>obligation de moyen = charge de la preuve incombe à la victime, obligation de résultat = présomption de faute si résultat escompté non obtenu.</w:t>
      </w:r>
    </w:p>
    <w:p w14:paraId="174FCBBF" w14:textId="77777777" w:rsidR="009A4399" w:rsidRDefault="009A4399"/>
    <w:p w14:paraId="6B482531" w14:textId="77777777" w:rsidR="003C0B77" w:rsidRDefault="009A4399">
      <w:r>
        <w:t>Distinction</w:t>
      </w:r>
      <w:r w:rsidR="003C0B77">
        <w:t xml:space="preserve"> peu utile </w:t>
      </w:r>
      <w:r>
        <w:t xml:space="preserve"> à développer </w:t>
      </w:r>
      <w:r w:rsidR="003C0B77">
        <w:t>car non consacrée dans l’Ord</w:t>
      </w:r>
      <w:r>
        <w:t>onnance de 2016 (article 1250 du projet</w:t>
      </w:r>
      <w:r w:rsidR="003C0B77">
        <w:t>)</w:t>
      </w:r>
    </w:p>
    <w:p w14:paraId="49C7BB97" w14:textId="77777777" w:rsidR="00E20603" w:rsidRDefault="00E20603"/>
    <w:p w14:paraId="0E747430" w14:textId="77777777" w:rsidR="00E20603" w:rsidRDefault="00E20603">
      <w:r>
        <w:t>Avant la réforme : distinction selon la nature de l’obligation (faire, pas faire, donner article 1142 et suivants) conditionnant la sanction à appliquer.</w:t>
      </w:r>
    </w:p>
    <w:p w14:paraId="249A113B" w14:textId="77777777" w:rsidR="00E20603" w:rsidRDefault="00E20603"/>
    <w:p w14:paraId="4593DC53" w14:textId="77777777" w:rsidR="00E20603" w:rsidRDefault="00E20603">
      <w:r>
        <w:t>Après la réforme régime de l’inexécution aux articles 1217 et suivants du Code civil. L’exécution forcée en nature est devenue le principe (article 1221 du Code civil). Sauf si elle est impossible (dommages intérêts).</w:t>
      </w:r>
    </w:p>
    <w:p w14:paraId="54783877" w14:textId="77777777" w:rsidR="00E20603" w:rsidRDefault="00E20603"/>
    <w:p w14:paraId="231AFEAE" w14:textId="77777777" w:rsidR="00E20603" w:rsidRDefault="00E20603">
      <w:r>
        <w:t>L’inexécution n’est pas toujours sanctionnée, la loi prévoit des causes d’exonération.</w:t>
      </w:r>
    </w:p>
    <w:p w14:paraId="5DA91DB2" w14:textId="77777777" w:rsidR="00E20603" w:rsidRDefault="00E20603"/>
    <w:p w14:paraId="3BE51041" w14:textId="77777777" w:rsidR="00E20603" w:rsidRDefault="00CD3B85">
      <w:r>
        <w:t>Avant la réforme : article 1148 et suivants  avec une distinction force majeure et cas fortuit.</w:t>
      </w:r>
    </w:p>
    <w:p w14:paraId="5DAD583E" w14:textId="77777777" w:rsidR="00CD3B85" w:rsidRDefault="00CD3B85"/>
    <w:p w14:paraId="5E1F1910" w14:textId="77777777" w:rsidR="00CD3B85" w:rsidRDefault="00CD3B85">
      <w:r>
        <w:t>Seront analysés dans l’arrêt.</w:t>
      </w:r>
    </w:p>
    <w:p w14:paraId="6A117325" w14:textId="77777777" w:rsidR="00CD3B85" w:rsidRDefault="00CD3B85"/>
    <w:p w14:paraId="3A7B47B4" w14:textId="77777777" w:rsidR="00CD3B85" w:rsidRDefault="00CD3B85">
      <w:r>
        <w:t>Après réforme : régime de l’inexécution aux articles 1217 et suivants du code civil.</w:t>
      </w:r>
    </w:p>
    <w:p w14:paraId="267AA87F" w14:textId="77777777" w:rsidR="00CD3B85" w:rsidRDefault="00CD3B85">
      <w:r>
        <w:t>La distinction force majeure et cas fortuit est supprimée (article 1218 du code civil)</w:t>
      </w:r>
    </w:p>
    <w:p w14:paraId="4A9EDD63" w14:textId="77777777" w:rsidR="00191B18" w:rsidRDefault="00191B18"/>
    <w:p w14:paraId="4BA00338" w14:textId="77777777" w:rsidR="00336912" w:rsidRDefault="00336912"/>
    <w:p w14:paraId="54A85688" w14:textId="77777777" w:rsidR="00336912" w:rsidRDefault="00336912"/>
    <w:p w14:paraId="590C7B6B" w14:textId="77777777" w:rsidR="00336912" w:rsidRDefault="00336912">
      <w:r>
        <w:t xml:space="preserve">Les faits : </w:t>
      </w:r>
    </w:p>
    <w:p w14:paraId="4EE793CF" w14:textId="77777777" w:rsidR="00336912" w:rsidRDefault="00336912"/>
    <w:p w14:paraId="251E412B" w14:textId="77777777" w:rsidR="00336912" w:rsidRDefault="00336912" w:rsidP="00336912">
      <w:pPr>
        <w:pStyle w:val="Paragraphedeliste"/>
        <w:numPr>
          <w:ilvl w:val="0"/>
          <w:numId w:val="1"/>
        </w:numPr>
      </w:pPr>
      <w:r>
        <w:t>Monsieur X, acheteur, commande à Monsieur Y, vendeur, une machine pour les besoins de son activité professionnelle.</w:t>
      </w:r>
    </w:p>
    <w:p w14:paraId="14B6E7B7" w14:textId="77777777" w:rsidR="00336912" w:rsidRDefault="00336912" w:rsidP="00336912">
      <w:pPr>
        <w:pStyle w:val="Paragraphedeliste"/>
        <w:numPr>
          <w:ilvl w:val="0"/>
          <w:numId w:val="1"/>
        </w:numPr>
      </w:pPr>
      <w:r>
        <w:t>En raison de l’état de santé du vendeur, la livraison n’a as lieue.</w:t>
      </w:r>
    </w:p>
    <w:p w14:paraId="47E409D5" w14:textId="77777777" w:rsidR="00336912" w:rsidRDefault="00336912" w:rsidP="00336912">
      <w:pPr>
        <w:pStyle w:val="Paragraphedeliste"/>
        <w:numPr>
          <w:ilvl w:val="0"/>
          <w:numId w:val="1"/>
        </w:numPr>
      </w:pPr>
      <w:r>
        <w:t>Les parties conviennent d’une nouvelle date de livraison.</w:t>
      </w:r>
    </w:p>
    <w:p w14:paraId="125A0C9E" w14:textId="77777777" w:rsidR="00336912" w:rsidRDefault="00336912" w:rsidP="00336912">
      <w:pPr>
        <w:pStyle w:val="Paragraphedeliste"/>
        <w:numPr>
          <w:ilvl w:val="0"/>
          <w:numId w:val="1"/>
        </w:numPr>
      </w:pPr>
      <w:r>
        <w:t>Le vendeur est diagnostiqué du cancer et en décède.</w:t>
      </w:r>
    </w:p>
    <w:p w14:paraId="23A2D3E1" w14:textId="77777777" w:rsidR="00336912" w:rsidRDefault="00336912" w:rsidP="00336912">
      <w:pPr>
        <w:pStyle w:val="Paragraphedeliste"/>
        <w:numPr>
          <w:ilvl w:val="0"/>
          <w:numId w:val="1"/>
        </w:numPr>
      </w:pPr>
      <w:r>
        <w:t>La machine n’est pas livrée.</w:t>
      </w:r>
    </w:p>
    <w:p w14:paraId="38A72758" w14:textId="77777777" w:rsidR="00336912" w:rsidRDefault="00336912" w:rsidP="00336912"/>
    <w:p w14:paraId="7F9D352E" w14:textId="77777777" w:rsidR="00336912" w:rsidRDefault="0058471D" w:rsidP="00336912">
      <w:proofErr w:type="gramStart"/>
      <w:r>
        <w:t>La procédure/prétentions :</w:t>
      </w:r>
      <w:proofErr w:type="gramEnd"/>
      <w:r>
        <w:t xml:space="preserve"> </w:t>
      </w:r>
    </w:p>
    <w:p w14:paraId="4D0E1A39" w14:textId="77777777" w:rsidR="00336912" w:rsidRDefault="00336912" w:rsidP="00336912"/>
    <w:p w14:paraId="3110E7EE" w14:textId="77777777" w:rsidR="00336912" w:rsidRDefault="006E6A06" w:rsidP="00336912">
      <w:pPr>
        <w:pStyle w:val="Paragraphedeliste"/>
        <w:numPr>
          <w:ilvl w:val="0"/>
          <w:numId w:val="1"/>
        </w:numPr>
      </w:pPr>
      <w:r>
        <w:t>L’acquéreur</w:t>
      </w:r>
      <w:r w:rsidR="00336912">
        <w:t xml:space="preserve"> assigne les ayants-droits du défunt en résolution du contrat et e</w:t>
      </w:r>
      <w:r>
        <w:t>n paiement de dommages-intérêts</w:t>
      </w:r>
      <w:r w:rsidR="0058471D">
        <w:t xml:space="preserve"> selon le moyen de l’inexécution du contrat</w:t>
      </w:r>
      <w:r>
        <w:t xml:space="preserve"> </w:t>
      </w:r>
      <w:r w:rsidR="0058471D">
        <w:t xml:space="preserve">pour défaut de livraison, </w:t>
      </w:r>
      <w:r>
        <w:t>devant une juridiction de première instance.</w:t>
      </w:r>
    </w:p>
    <w:p w14:paraId="709E6C86" w14:textId="77777777" w:rsidR="0058471D" w:rsidRDefault="0058471D" w:rsidP="0058471D">
      <w:pPr>
        <w:pStyle w:val="Paragraphedeliste"/>
      </w:pPr>
    </w:p>
    <w:p w14:paraId="08B6536F" w14:textId="77777777" w:rsidR="00336912" w:rsidRDefault="006E6A06" w:rsidP="00336912">
      <w:pPr>
        <w:pStyle w:val="Paragraphedeliste"/>
        <w:numPr>
          <w:ilvl w:val="0"/>
          <w:numId w:val="1"/>
        </w:numPr>
      </w:pPr>
      <w:r>
        <w:t xml:space="preserve">La juridiction </w:t>
      </w:r>
      <w:r w:rsidR="0058471D">
        <w:t>rejette la demande de</w:t>
      </w:r>
      <w:r>
        <w:t xml:space="preserve"> l’acquéreur.</w:t>
      </w:r>
    </w:p>
    <w:p w14:paraId="55AB7B73" w14:textId="77777777" w:rsidR="0058471D" w:rsidRDefault="0058471D" w:rsidP="0058471D"/>
    <w:p w14:paraId="2EABD879" w14:textId="77777777" w:rsidR="0058471D" w:rsidRDefault="0058471D" w:rsidP="0058471D">
      <w:pPr>
        <w:pStyle w:val="Paragraphedeliste"/>
      </w:pPr>
    </w:p>
    <w:p w14:paraId="119C70CD" w14:textId="77777777" w:rsidR="006E6A06" w:rsidRDefault="006E6A06" w:rsidP="00336912">
      <w:pPr>
        <w:pStyle w:val="Paragraphedeliste"/>
        <w:numPr>
          <w:ilvl w:val="0"/>
          <w:numId w:val="1"/>
        </w:numPr>
      </w:pPr>
      <w:r>
        <w:t>L’acquéreur interjette appel</w:t>
      </w:r>
      <w:r w:rsidR="0058471D">
        <w:t>.</w:t>
      </w:r>
    </w:p>
    <w:p w14:paraId="39A02FF4" w14:textId="77777777" w:rsidR="0058471D" w:rsidRDefault="0058471D" w:rsidP="0058471D">
      <w:pPr>
        <w:pStyle w:val="Paragraphedeliste"/>
      </w:pPr>
    </w:p>
    <w:p w14:paraId="515C886B" w14:textId="77777777" w:rsidR="006E6A06" w:rsidRDefault="006E6A06" w:rsidP="00336912">
      <w:pPr>
        <w:pStyle w:val="Paragraphedeliste"/>
        <w:numPr>
          <w:ilvl w:val="0"/>
          <w:numId w:val="1"/>
        </w:numPr>
      </w:pPr>
      <w:r>
        <w:t xml:space="preserve">La Cour d’appel de Douai rend, le 12 Novembre 2001 un arrêt confirmatif et rejette </w:t>
      </w:r>
      <w:r w:rsidR="00552DDD">
        <w:t>la demande de dommages-intérêts au motif que la maladie du vendeur revêt un caractère imprévisible, caractéri</w:t>
      </w:r>
      <w:r w:rsidR="0058471D">
        <w:t>stique d’un cas de force majeur</w:t>
      </w:r>
      <w:r w:rsidR="00552DDD">
        <w:t>.</w:t>
      </w:r>
    </w:p>
    <w:p w14:paraId="65EA5679" w14:textId="77777777" w:rsidR="0058471D" w:rsidRDefault="0058471D" w:rsidP="0058471D"/>
    <w:p w14:paraId="6A04457C" w14:textId="77777777" w:rsidR="006E6A06" w:rsidRDefault="006E6A06" w:rsidP="00336912">
      <w:pPr>
        <w:pStyle w:val="Paragraphedeliste"/>
        <w:numPr>
          <w:ilvl w:val="0"/>
          <w:numId w:val="1"/>
        </w:numPr>
      </w:pPr>
      <w:r>
        <w:t>L’acquéreur forme un pourvoi en cassation.</w:t>
      </w:r>
    </w:p>
    <w:p w14:paraId="40EA849B" w14:textId="77777777" w:rsidR="0058471D" w:rsidRDefault="0058471D" w:rsidP="0058471D">
      <w:pPr>
        <w:pStyle w:val="Paragraphedeliste"/>
      </w:pPr>
    </w:p>
    <w:p w14:paraId="7FEE10FC" w14:textId="77777777" w:rsidR="006E6A06" w:rsidRDefault="00552DDD" w:rsidP="00336912">
      <w:pPr>
        <w:pStyle w:val="Paragraphedeliste"/>
        <w:numPr>
          <w:ilvl w:val="0"/>
          <w:numId w:val="1"/>
        </w:numPr>
      </w:pPr>
      <w:r>
        <w:t>Le 14 Avril 2006, La Cour de cassation réunie en Assemblée plénière rejette le pourvoi.</w:t>
      </w:r>
    </w:p>
    <w:p w14:paraId="6B0E9C37" w14:textId="77777777" w:rsidR="00552DDD" w:rsidRDefault="00552DDD" w:rsidP="00552DDD"/>
    <w:p w14:paraId="2A8BCFCF" w14:textId="77777777" w:rsidR="0058471D" w:rsidRDefault="0058471D" w:rsidP="00552DDD"/>
    <w:p w14:paraId="50B00C58" w14:textId="77777777" w:rsidR="00552DDD" w:rsidRDefault="0058471D" w:rsidP="00552DDD">
      <w:r>
        <w:t xml:space="preserve">Problème de droit : </w:t>
      </w:r>
    </w:p>
    <w:p w14:paraId="0CD66523" w14:textId="77777777" w:rsidR="0058471D" w:rsidRDefault="0058471D" w:rsidP="00552DDD"/>
    <w:p w14:paraId="17F2A90A" w14:textId="77777777" w:rsidR="0058471D" w:rsidRDefault="0058471D" w:rsidP="00552DDD">
      <w:r>
        <w:t xml:space="preserve">L’inexécution du contrat en raison du décès du débiteur permet-il de caractériser un cas de force majeur justifiant celle-ci ? </w:t>
      </w:r>
    </w:p>
    <w:p w14:paraId="534B9662" w14:textId="77777777" w:rsidR="0058471D" w:rsidRDefault="0058471D" w:rsidP="00552DDD"/>
    <w:p w14:paraId="15D51ED2" w14:textId="77777777" w:rsidR="0058471D" w:rsidRDefault="0058471D" w:rsidP="00552DDD"/>
    <w:p w14:paraId="2C0C2360" w14:textId="77777777" w:rsidR="0058471D" w:rsidRDefault="0058471D" w:rsidP="00552DDD"/>
    <w:p w14:paraId="68B5DF7B" w14:textId="77777777" w:rsidR="0058471D" w:rsidRDefault="0058471D" w:rsidP="00552DDD"/>
    <w:p w14:paraId="244B6813" w14:textId="77777777" w:rsidR="0058471D" w:rsidRDefault="0058471D" w:rsidP="00552DDD"/>
    <w:p w14:paraId="7BE45413" w14:textId="77777777" w:rsidR="0058471D" w:rsidRDefault="0058471D" w:rsidP="00552DDD"/>
    <w:p w14:paraId="017A5F6E" w14:textId="77777777" w:rsidR="0058471D" w:rsidRDefault="0058471D" w:rsidP="00552DDD"/>
    <w:p w14:paraId="4EABC29F" w14:textId="77777777" w:rsidR="0058471D" w:rsidRDefault="0058471D" w:rsidP="00552DDD"/>
    <w:p w14:paraId="2E56286D" w14:textId="77777777" w:rsidR="0058471D" w:rsidRDefault="0058471D" w:rsidP="00552DDD"/>
    <w:p w14:paraId="3A59BAA9" w14:textId="77777777" w:rsidR="0058471D" w:rsidRDefault="0058471D" w:rsidP="00552DDD"/>
    <w:p w14:paraId="1F5AAFCD" w14:textId="77777777" w:rsidR="0058471D" w:rsidRDefault="0058471D" w:rsidP="00552DDD">
      <w:r>
        <w:t>Solution de droit :</w:t>
      </w:r>
    </w:p>
    <w:p w14:paraId="75170D1B" w14:textId="77777777" w:rsidR="003C7BDB" w:rsidRDefault="003C7BDB" w:rsidP="00552DDD"/>
    <w:p w14:paraId="105EC983" w14:textId="77777777" w:rsidR="003C7BDB" w:rsidRDefault="003C7BDB" w:rsidP="00552DDD"/>
    <w:p w14:paraId="1F654E14" w14:textId="77777777" w:rsidR="0058471D" w:rsidRDefault="0058471D" w:rsidP="00552DDD"/>
    <w:p w14:paraId="0C71248B" w14:textId="77777777" w:rsidR="0058471D" w:rsidRDefault="0058471D" w:rsidP="003C7BDB">
      <w:pPr>
        <w:ind w:left="708"/>
        <w:jc w:val="both"/>
        <w:rPr>
          <w:color w:val="5F497A" w:themeColor="accent4" w:themeShade="BF"/>
        </w:rPr>
      </w:pPr>
      <w:r>
        <w:t xml:space="preserve">« Mais attendu qu'il n'y a </w:t>
      </w:r>
      <w:r w:rsidRPr="003C7BDB">
        <w:rPr>
          <w:color w:val="FF0000"/>
        </w:rPr>
        <w:t xml:space="preserve">lieu à </w:t>
      </w:r>
      <w:r w:rsidRPr="003C7BDB">
        <w:rPr>
          <w:color w:val="FF0000"/>
          <w:u w:val="single"/>
        </w:rPr>
        <w:t>aucuns dommages-intérêts lorsque, par suite d'une force majeure ou d'un cas fortuit</w:t>
      </w:r>
      <w:r w:rsidRPr="003C7BDB">
        <w:rPr>
          <w:color w:val="FF0000"/>
        </w:rPr>
        <w:t xml:space="preserve">, le débiteur </w:t>
      </w:r>
      <w:r w:rsidRPr="003C7BDB">
        <w:rPr>
          <w:color w:val="FF0000"/>
          <w:u w:val="single"/>
        </w:rPr>
        <w:t>a été empêché de donner ou de faire ce à quoi il était obligé, ou a fait ce qui lui était interdit</w:t>
      </w:r>
      <w:r>
        <w:t xml:space="preserve"> ; </w:t>
      </w:r>
      <w:r w:rsidRPr="003C7BDB">
        <w:rPr>
          <w:color w:val="31849B" w:themeColor="accent5" w:themeShade="BF"/>
        </w:rPr>
        <w:t xml:space="preserve">qu'il en est ainsi lorsque le débiteur a été </w:t>
      </w:r>
      <w:r w:rsidRPr="003C7BDB">
        <w:rPr>
          <w:color w:val="31849B" w:themeColor="accent5" w:themeShade="BF"/>
          <w:u w:val="single"/>
        </w:rPr>
        <w:t>empêché d'exécuter par la maladie</w:t>
      </w:r>
      <w:r w:rsidRPr="003C7BDB">
        <w:rPr>
          <w:color w:val="31849B" w:themeColor="accent5" w:themeShade="BF"/>
        </w:rPr>
        <w:t xml:space="preserve">, dès lors que cet </w:t>
      </w:r>
      <w:r w:rsidRPr="003C7BDB">
        <w:rPr>
          <w:color w:val="31849B" w:themeColor="accent5" w:themeShade="BF"/>
          <w:u w:val="single"/>
        </w:rPr>
        <w:t>événement</w:t>
      </w:r>
      <w:r w:rsidRPr="003C7BDB">
        <w:rPr>
          <w:color w:val="31849B" w:themeColor="accent5" w:themeShade="BF"/>
        </w:rPr>
        <w:t xml:space="preserve">, présentant un </w:t>
      </w:r>
      <w:r w:rsidRPr="003C7BDB">
        <w:rPr>
          <w:color w:val="31849B" w:themeColor="accent5" w:themeShade="BF"/>
          <w:u w:val="single"/>
        </w:rPr>
        <w:t>caractère imprévisible</w:t>
      </w:r>
      <w:r w:rsidRPr="003C7BDB">
        <w:rPr>
          <w:color w:val="31849B" w:themeColor="accent5" w:themeShade="BF"/>
        </w:rPr>
        <w:t xml:space="preserve"> </w:t>
      </w:r>
      <w:r w:rsidRPr="003C7BDB">
        <w:rPr>
          <w:color w:val="31849B" w:themeColor="accent5" w:themeShade="BF"/>
          <w:u w:val="single"/>
        </w:rPr>
        <w:t>lors de la conclusion du contrat</w:t>
      </w:r>
      <w:r w:rsidRPr="003C7BDB">
        <w:rPr>
          <w:color w:val="31849B" w:themeColor="accent5" w:themeShade="BF"/>
        </w:rPr>
        <w:t xml:space="preserve"> </w:t>
      </w:r>
      <w:r w:rsidRPr="003C7BDB">
        <w:rPr>
          <w:color w:val="31849B" w:themeColor="accent5" w:themeShade="BF"/>
          <w:u w:val="single"/>
        </w:rPr>
        <w:t>et irrésistible dans son exécution,</w:t>
      </w:r>
      <w:r w:rsidRPr="003C7BDB">
        <w:rPr>
          <w:color w:val="31849B" w:themeColor="accent5" w:themeShade="BF"/>
        </w:rPr>
        <w:t xml:space="preserve"> est </w:t>
      </w:r>
      <w:r w:rsidRPr="003C42A2">
        <w:rPr>
          <w:color w:val="31849B" w:themeColor="accent5" w:themeShade="BF"/>
          <w:u w:val="single"/>
        </w:rPr>
        <w:t>constitutif</w:t>
      </w:r>
      <w:r w:rsidRPr="003C7BDB">
        <w:rPr>
          <w:color w:val="31849B" w:themeColor="accent5" w:themeShade="BF"/>
        </w:rPr>
        <w:t xml:space="preserve"> d'un cas de force majeure </w:t>
      </w:r>
      <w:r>
        <w:t xml:space="preserve">; </w:t>
      </w:r>
      <w:r w:rsidRPr="003C7BDB">
        <w:rPr>
          <w:color w:val="008000"/>
        </w:rPr>
        <w:t xml:space="preserve">qu'ayant retenu, par </w:t>
      </w:r>
      <w:r w:rsidRPr="003C7BDB">
        <w:rPr>
          <w:color w:val="008000"/>
          <w:u w:val="single"/>
        </w:rPr>
        <w:t>motifs propres et adoptés</w:t>
      </w:r>
      <w:r w:rsidRPr="003C7BDB">
        <w:rPr>
          <w:color w:val="008000"/>
        </w:rPr>
        <w:t xml:space="preserve">, que seul Michel Y... était en mesure de réaliser la machine et qu'il </w:t>
      </w:r>
      <w:r w:rsidRPr="003C7BDB">
        <w:rPr>
          <w:color w:val="008000"/>
          <w:u w:val="single"/>
        </w:rPr>
        <w:t xml:space="preserve">s'en était trouvé empêché </w:t>
      </w:r>
      <w:r w:rsidRPr="003C7BDB">
        <w:rPr>
          <w:color w:val="008000"/>
        </w:rPr>
        <w:t xml:space="preserve">par son </w:t>
      </w:r>
      <w:r w:rsidRPr="003C7BDB">
        <w:rPr>
          <w:color w:val="008000"/>
          <w:u w:val="single"/>
        </w:rPr>
        <w:t>incapacité temporaire partielle</w:t>
      </w:r>
      <w:r w:rsidRPr="003C7BDB">
        <w:rPr>
          <w:color w:val="008000"/>
        </w:rPr>
        <w:t xml:space="preserve"> </w:t>
      </w:r>
      <w:r w:rsidRPr="003C7BDB">
        <w:rPr>
          <w:color w:val="008000"/>
          <w:u w:val="single"/>
        </w:rPr>
        <w:t>puis par la maladie ayant entraîné son décès</w:t>
      </w:r>
      <w:r w:rsidRPr="003C7BDB">
        <w:rPr>
          <w:color w:val="008000"/>
        </w:rPr>
        <w:t xml:space="preserve">, que l'incapacité physique résultant de l'infection et de la maladie grave survenues </w:t>
      </w:r>
      <w:r w:rsidRPr="003C7BDB">
        <w:rPr>
          <w:color w:val="008000"/>
          <w:u w:val="single"/>
        </w:rPr>
        <w:t>après la conclusion du contrat</w:t>
      </w:r>
      <w:r w:rsidRPr="003C7BDB">
        <w:rPr>
          <w:color w:val="008000"/>
        </w:rPr>
        <w:t xml:space="preserve"> présentait un caractère </w:t>
      </w:r>
      <w:r w:rsidRPr="003C7BDB">
        <w:rPr>
          <w:color w:val="008000"/>
          <w:u w:val="single"/>
        </w:rPr>
        <w:t>imprévisible</w:t>
      </w:r>
      <w:r>
        <w:t xml:space="preserve"> </w:t>
      </w:r>
      <w:r w:rsidRPr="003C7BDB">
        <w:rPr>
          <w:color w:val="5F497A" w:themeColor="accent4" w:themeShade="BF"/>
        </w:rPr>
        <w:t xml:space="preserve">et que la </w:t>
      </w:r>
      <w:r w:rsidRPr="003C7BDB">
        <w:rPr>
          <w:color w:val="5F497A" w:themeColor="accent4" w:themeShade="BF"/>
          <w:u w:val="single"/>
        </w:rPr>
        <w:t>chronologie des faits</w:t>
      </w:r>
      <w:r w:rsidRPr="003C7BDB">
        <w:rPr>
          <w:color w:val="5F497A" w:themeColor="accent4" w:themeShade="BF"/>
        </w:rPr>
        <w:t xml:space="preserve"> ainsi que les </w:t>
      </w:r>
      <w:r w:rsidRPr="003C7BDB">
        <w:rPr>
          <w:color w:val="5F497A" w:themeColor="accent4" w:themeShade="BF"/>
          <w:u w:val="single"/>
        </w:rPr>
        <w:t>attestations relatant la dégradation brutale</w:t>
      </w:r>
      <w:r w:rsidRPr="003C7BDB">
        <w:rPr>
          <w:color w:val="5F497A" w:themeColor="accent4" w:themeShade="BF"/>
        </w:rPr>
        <w:t xml:space="preserve"> de son état de santé </w:t>
      </w:r>
      <w:r w:rsidRPr="003C7BDB">
        <w:rPr>
          <w:color w:val="5F497A" w:themeColor="accent4" w:themeShade="BF"/>
          <w:u w:val="single"/>
        </w:rPr>
        <w:t>faisaient la preuve d'une maladie irrésistible</w:t>
      </w:r>
      <w:r w:rsidRPr="003C7BDB">
        <w:rPr>
          <w:color w:val="5F497A" w:themeColor="accent4" w:themeShade="BF"/>
        </w:rPr>
        <w:t>, la cour d'appel a décidé à bon droit que ces circonstances étaient constitutives d'un cas de force majeure</w:t>
      </w:r>
      <w:r w:rsidR="003C7BDB">
        <w:rPr>
          <w:color w:val="5F497A" w:themeColor="accent4" w:themeShade="BF"/>
        </w:rPr>
        <w:t> »</w:t>
      </w:r>
    </w:p>
    <w:p w14:paraId="6B93A2B7" w14:textId="77777777" w:rsidR="003C7BDB" w:rsidRDefault="003C7BDB" w:rsidP="003C7BDB">
      <w:pPr>
        <w:ind w:left="708"/>
        <w:jc w:val="both"/>
        <w:rPr>
          <w:color w:val="5F497A" w:themeColor="accent4" w:themeShade="BF"/>
        </w:rPr>
      </w:pPr>
    </w:p>
    <w:p w14:paraId="19D6257E" w14:textId="77777777" w:rsidR="003C7BDB" w:rsidRDefault="003C7BDB" w:rsidP="003C7BDB">
      <w:pPr>
        <w:ind w:left="708"/>
        <w:jc w:val="both"/>
        <w:rPr>
          <w:color w:val="5F497A" w:themeColor="accent4" w:themeShade="BF"/>
        </w:rPr>
      </w:pPr>
    </w:p>
    <w:p w14:paraId="4769128A" w14:textId="77777777" w:rsidR="003C7BDB" w:rsidRDefault="003C7BDB" w:rsidP="003C7BDB">
      <w:pPr>
        <w:ind w:left="708"/>
        <w:jc w:val="both"/>
        <w:rPr>
          <w:color w:val="5F497A" w:themeColor="accent4" w:themeShade="BF"/>
        </w:rPr>
      </w:pPr>
    </w:p>
    <w:p w14:paraId="24F901B7" w14:textId="77777777" w:rsidR="003C7BDB" w:rsidRPr="00063C50" w:rsidRDefault="003C7BDB" w:rsidP="003D6747">
      <w:pPr>
        <w:pStyle w:val="Paragraphedeliste"/>
        <w:numPr>
          <w:ilvl w:val="0"/>
          <w:numId w:val="2"/>
        </w:numPr>
        <w:jc w:val="both"/>
        <w:rPr>
          <w:color w:val="000000" w:themeColor="text1"/>
          <w:u w:val="single"/>
        </w:rPr>
      </w:pPr>
      <w:r w:rsidRPr="00063C50">
        <w:rPr>
          <w:color w:val="000000" w:themeColor="text1"/>
          <w:u w:val="single"/>
        </w:rPr>
        <w:t>Le rappel</w:t>
      </w:r>
      <w:r w:rsidR="003D6747" w:rsidRPr="00063C50">
        <w:rPr>
          <w:color w:val="000000" w:themeColor="text1"/>
          <w:u w:val="single"/>
        </w:rPr>
        <w:t xml:space="preserve"> (bienvenu pour les poètes)</w:t>
      </w:r>
      <w:r w:rsidRPr="00063C50">
        <w:rPr>
          <w:color w:val="000000" w:themeColor="text1"/>
          <w:u w:val="single"/>
        </w:rPr>
        <w:t xml:space="preserve"> de</w:t>
      </w:r>
      <w:r w:rsidR="003C42A2" w:rsidRPr="00063C50">
        <w:rPr>
          <w:color w:val="000000" w:themeColor="text1"/>
          <w:u w:val="single"/>
        </w:rPr>
        <w:t xml:space="preserve"> la</w:t>
      </w:r>
      <w:r w:rsidRPr="00063C50">
        <w:rPr>
          <w:color w:val="000000" w:themeColor="text1"/>
          <w:u w:val="single"/>
        </w:rPr>
        <w:t xml:space="preserve"> </w:t>
      </w:r>
      <w:r w:rsidR="003C42A2" w:rsidRPr="00063C50">
        <w:rPr>
          <w:color w:val="000000" w:themeColor="text1"/>
          <w:u w:val="single"/>
        </w:rPr>
        <w:t>mise</w:t>
      </w:r>
      <w:r w:rsidR="003D6747" w:rsidRPr="00063C50">
        <w:rPr>
          <w:color w:val="000000" w:themeColor="text1"/>
          <w:u w:val="single"/>
        </w:rPr>
        <w:t xml:space="preserve"> en œuvre des causes d’exonération</w:t>
      </w:r>
      <w:r w:rsidR="003C42A2" w:rsidRPr="00063C50">
        <w:rPr>
          <w:color w:val="000000" w:themeColor="text1"/>
          <w:u w:val="single"/>
        </w:rPr>
        <w:t xml:space="preserve"> de responsabilité</w:t>
      </w:r>
    </w:p>
    <w:p w14:paraId="7FC38B30" w14:textId="77777777" w:rsidR="003D6747" w:rsidRDefault="003D6747" w:rsidP="003D6747">
      <w:pPr>
        <w:jc w:val="both"/>
        <w:rPr>
          <w:color w:val="000000" w:themeColor="text1"/>
        </w:rPr>
      </w:pPr>
    </w:p>
    <w:p w14:paraId="0BBFBC1B" w14:textId="77777777" w:rsidR="00D4445C" w:rsidRPr="00063C50" w:rsidRDefault="00D4445C" w:rsidP="00D4445C">
      <w:pPr>
        <w:pStyle w:val="Paragraphedeliste"/>
        <w:numPr>
          <w:ilvl w:val="0"/>
          <w:numId w:val="3"/>
        </w:numPr>
        <w:jc w:val="both"/>
        <w:rPr>
          <w:color w:val="000000" w:themeColor="text1"/>
          <w:u w:val="single"/>
        </w:rPr>
      </w:pPr>
      <w:r w:rsidRPr="00063C50">
        <w:rPr>
          <w:color w:val="000000" w:themeColor="text1"/>
          <w:u w:val="single"/>
        </w:rPr>
        <w:t>La recherche (préalable)</w:t>
      </w:r>
      <w:bookmarkStart w:id="0" w:name="_GoBack"/>
      <w:bookmarkEnd w:id="0"/>
      <w:r w:rsidRPr="00063C50">
        <w:rPr>
          <w:color w:val="000000" w:themeColor="text1"/>
          <w:u w:val="single"/>
        </w:rPr>
        <w:t xml:space="preserve"> de l’exist</w:t>
      </w:r>
      <w:r w:rsidR="003C42A2" w:rsidRPr="00063C50">
        <w:rPr>
          <w:color w:val="000000" w:themeColor="text1"/>
          <w:u w:val="single"/>
        </w:rPr>
        <w:t>ence d’un cas de force majeur ou</w:t>
      </w:r>
      <w:r w:rsidRPr="00063C50">
        <w:rPr>
          <w:color w:val="000000" w:themeColor="text1"/>
          <w:u w:val="single"/>
        </w:rPr>
        <w:t xml:space="preserve"> d’un cas fortuit</w:t>
      </w:r>
    </w:p>
    <w:p w14:paraId="55A02176" w14:textId="77777777" w:rsidR="00CD3B85" w:rsidRDefault="00CD3B85" w:rsidP="00CD3B85">
      <w:pPr>
        <w:jc w:val="both"/>
        <w:rPr>
          <w:color w:val="000000" w:themeColor="text1"/>
        </w:rPr>
      </w:pPr>
    </w:p>
    <w:p w14:paraId="7B309AE8" w14:textId="77777777" w:rsidR="00CD3B85" w:rsidRPr="00CD3B85" w:rsidRDefault="00CD3B85" w:rsidP="00CD3B85">
      <w:pPr>
        <w:jc w:val="both"/>
        <w:rPr>
          <w:color w:val="000000" w:themeColor="text1"/>
        </w:rPr>
      </w:pPr>
      <w:r>
        <w:rPr>
          <w:color w:val="000000" w:themeColor="text1"/>
        </w:rPr>
        <w:t>Les juges commencent par énoncer le contenu du régime « </w:t>
      </w:r>
      <w:r w:rsidRPr="003C7BDB">
        <w:rPr>
          <w:color w:val="FF0000"/>
        </w:rPr>
        <w:t xml:space="preserve">lieu à </w:t>
      </w:r>
      <w:r w:rsidRPr="003C7BDB">
        <w:rPr>
          <w:color w:val="FF0000"/>
          <w:u w:val="single"/>
        </w:rPr>
        <w:t>aucuns dommages-intérêts lorsque, par suite d'une force majeure ou d'un cas fortuit</w:t>
      </w:r>
      <w:r w:rsidRPr="003C7BDB">
        <w:rPr>
          <w:color w:val="FF0000"/>
        </w:rPr>
        <w:t xml:space="preserve">, le débiteur </w:t>
      </w:r>
      <w:r w:rsidRPr="003C7BDB">
        <w:rPr>
          <w:color w:val="FF0000"/>
          <w:u w:val="single"/>
        </w:rPr>
        <w:t>a été empêché de donner ou de faire ce à quoi il était obligé, ou a fait ce qui lui était interdit</w:t>
      </w:r>
      <w:r w:rsidRPr="00CD3B85">
        <w:rPr>
          <w:color w:val="000000" w:themeColor="text1"/>
        </w:rPr>
        <w:t> »</w:t>
      </w:r>
    </w:p>
    <w:p w14:paraId="12B3BDD4" w14:textId="77777777" w:rsidR="003C42A2" w:rsidRDefault="003C42A2" w:rsidP="003C42A2">
      <w:pPr>
        <w:jc w:val="both"/>
        <w:rPr>
          <w:color w:val="000000" w:themeColor="text1"/>
        </w:rPr>
      </w:pPr>
    </w:p>
    <w:p w14:paraId="1486381F" w14:textId="77777777" w:rsidR="004367BA" w:rsidRPr="004367BA" w:rsidRDefault="004367BA" w:rsidP="003C42A2">
      <w:pPr>
        <w:pStyle w:val="Paragraphedeliste"/>
        <w:numPr>
          <w:ilvl w:val="0"/>
          <w:numId w:val="1"/>
        </w:numPr>
        <w:jc w:val="both"/>
        <w:rPr>
          <w:color w:val="000000" w:themeColor="text1"/>
        </w:rPr>
      </w:pPr>
      <w:r w:rsidRPr="00CD3B85">
        <w:rPr>
          <w:color w:val="000000" w:themeColor="text1"/>
        </w:rPr>
        <w:t xml:space="preserve">Rappeler le triptyque d’engagement de la responsabilité. Les causes d’exonération </w:t>
      </w:r>
      <w:r>
        <w:rPr>
          <w:color w:val="000000" w:themeColor="text1"/>
        </w:rPr>
        <w:t>ont pour fonction de</w:t>
      </w:r>
      <w:r w:rsidRPr="00CD3B85">
        <w:rPr>
          <w:color w:val="000000" w:themeColor="text1"/>
        </w:rPr>
        <w:t xml:space="preserve"> supprimer le lien de causalité, empêchant l’engagement de la responsabilité.</w:t>
      </w:r>
    </w:p>
    <w:p w14:paraId="7C23C963" w14:textId="77777777" w:rsidR="004367BA" w:rsidRDefault="004367BA" w:rsidP="003C42A2">
      <w:pPr>
        <w:jc w:val="both"/>
        <w:rPr>
          <w:color w:val="000000" w:themeColor="text1"/>
        </w:rPr>
      </w:pPr>
    </w:p>
    <w:p w14:paraId="03F1C9CA" w14:textId="77777777" w:rsidR="00CD3B85" w:rsidRPr="004367BA" w:rsidRDefault="00CD3B85" w:rsidP="004367BA">
      <w:pPr>
        <w:pStyle w:val="Paragraphedeliste"/>
        <w:numPr>
          <w:ilvl w:val="0"/>
          <w:numId w:val="1"/>
        </w:numPr>
        <w:jc w:val="both"/>
        <w:rPr>
          <w:color w:val="000000" w:themeColor="text1"/>
        </w:rPr>
      </w:pPr>
      <w:r w:rsidRPr="004367BA">
        <w:rPr>
          <w:color w:val="000000" w:themeColor="text1"/>
        </w:rPr>
        <w:t xml:space="preserve">Il convient donc de rappeler le contenu de la règle de l’article 1148 </w:t>
      </w:r>
      <w:proofErr w:type="gramStart"/>
      <w:r w:rsidRPr="004367BA">
        <w:rPr>
          <w:color w:val="000000" w:themeColor="text1"/>
        </w:rPr>
        <w:t>ancien</w:t>
      </w:r>
      <w:proofErr w:type="gramEnd"/>
      <w:r w:rsidRPr="004367BA">
        <w:rPr>
          <w:color w:val="000000" w:themeColor="text1"/>
        </w:rPr>
        <w:t xml:space="preserve"> du Code civil.</w:t>
      </w:r>
    </w:p>
    <w:p w14:paraId="6DD6F05E" w14:textId="77777777" w:rsidR="004367BA" w:rsidRPr="004367BA" w:rsidRDefault="004367BA" w:rsidP="004367BA">
      <w:pPr>
        <w:pStyle w:val="Paragraphedeliste"/>
        <w:jc w:val="both"/>
        <w:rPr>
          <w:color w:val="000000" w:themeColor="text1"/>
        </w:rPr>
      </w:pPr>
    </w:p>
    <w:p w14:paraId="69D049DF" w14:textId="77777777" w:rsidR="004367BA" w:rsidRPr="004367BA" w:rsidRDefault="00CD3B85" w:rsidP="004367BA">
      <w:pPr>
        <w:pStyle w:val="Paragraphedeliste"/>
        <w:numPr>
          <w:ilvl w:val="0"/>
          <w:numId w:val="1"/>
        </w:numPr>
        <w:jc w:val="both"/>
        <w:rPr>
          <w:color w:val="000000" w:themeColor="text1"/>
        </w:rPr>
      </w:pPr>
      <w:r w:rsidRPr="004367BA">
        <w:rPr>
          <w:color w:val="000000" w:themeColor="text1"/>
        </w:rPr>
        <w:t xml:space="preserve">Rappeler </w:t>
      </w:r>
      <w:r w:rsidR="004367BA" w:rsidRPr="004367BA">
        <w:rPr>
          <w:color w:val="000000" w:themeColor="text1"/>
        </w:rPr>
        <w:t>les différentes causes d’exonération : fait du tiers,</w:t>
      </w:r>
      <w:r w:rsidRPr="004367BA">
        <w:rPr>
          <w:color w:val="000000" w:themeColor="text1"/>
        </w:rPr>
        <w:t xml:space="preserve"> cas fortuit et force majeure</w:t>
      </w:r>
    </w:p>
    <w:p w14:paraId="76AED670" w14:textId="77777777" w:rsidR="004367BA" w:rsidRPr="004367BA" w:rsidRDefault="004367BA" w:rsidP="004367BA">
      <w:pPr>
        <w:jc w:val="both"/>
        <w:rPr>
          <w:color w:val="000000" w:themeColor="text1"/>
        </w:rPr>
      </w:pPr>
    </w:p>
    <w:p w14:paraId="2C656C24" w14:textId="77777777" w:rsidR="00CD3B85" w:rsidRPr="004367BA" w:rsidRDefault="004367BA" w:rsidP="004367BA">
      <w:pPr>
        <w:jc w:val="both"/>
        <w:rPr>
          <w:color w:val="000000" w:themeColor="text1"/>
        </w:rPr>
      </w:pPr>
      <w:r>
        <w:rPr>
          <w:color w:val="000000" w:themeColor="text1"/>
        </w:rPr>
        <w:t>Les deux dernières faisant l’objet de notre étude et étant marqué par une</w:t>
      </w:r>
      <w:r w:rsidR="00CD3B85" w:rsidRPr="004367BA">
        <w:rPr>
          <w:color w:val="000000" w:themeColor="text1"/>
        </w:rPr>
        <w:t xml:space="preserve"> différence </w:t>
      </w:r>
      <w:r>
        <w:rPr>
          <w:color w:val="000000" w:themeColor="text1"/>
        </w:rPr>
        <w:t>fondée</w:t>
      </w:r>
      <w:r w:rsidRPr="004367BA">
        <w:rPr>
          <w:color w:val="000000" w:themeColor="text1"/>
        </w:rPr>
        <w:t xml:space="preserve"> traditionnellement</w:t>
      </w:r>
      <w:r w:rsidR="00CD3B85" w:rsidRPr="004367BA">
        <w:rPr>
          <w:color w:val="000000" w:themeColor="text1"/>
        </w:rPr>
        <w:t xml:space="preserve"> sur le critère d’extériorité mais les  deux restent des causes d’exonération (totale ou partielle) de responsabilité.</w:t>
      </w:r>
    </w:p>
    <w:p w14:paraId="49F278D2" w14:textId="77777777" w:rsidR="00CD3B85" w:rsidRDefault="00CD3B85" w:rsidP="003C42A2">
      <w:pPr>
        <w:jc w:val="both"/>
        <w:rPr>
          <w:color w:val="000000" w:themeColor="text1"/>
        </w:rPr>
      </w:pPr>
      <w:r>
        <w:rPr>
          <w:color w:val="000000" w:themeColor="text1"/>
        </w:rPr>
        <w:t>Les conditions sont</w:t>
      </w:r>
      <w:r w:rsidR="004367BA">
        <w:rPr>
          <w:color w:val="000000" w:themeColor="text1"/>
        </w:rPr>
        <w:t xml:space="preserve"> par principe</w:t>
      </w:r>
      <w:r>
        <w:rPr>
          <w:color w:val="000000" w:themeColor="text1"/>
        </w:rPr>
        <w:t xml:space="preserve"> cumulatives</w:t>
      </w:r>
      <w:r w:rsidR="004367BA">
        <w:rPr>
          <w:color w:val="000000" w:themeColor="text1"/>
        </w:rPr>
        <w:t xml:space="preserve"> : </w:t>
      </w:r>
    </w:p>
    <w:p w14:paraId="7611DEA9" w14:textId="77777777" w:rsidR="004367BA" w:rsidRDefault="004367BA" w:rsidP="003C42A2">
      <w:pPr>
        <w:jc w:val="both"/>
        <w:rPr>
          <w:color w:val="000000" w:themeColor="text1"/>
        </w:rPr>
      </w:pPr>
    </w:p>
    <w:p w14:paraId="2697F973" w14:textId="77777777" w:rsidR="004367BA" w:rsidRDefault="004367BA" w:rsidP="003C42A2">
      <w:pPr>
        <w:jc w:val="both"/>
        <w:rPr>
          <w:color w:val="000000" w:themeColor="text1"/>
        </w:rPr>
      </w:pPr>
      <w:r w:rsidRPr="00716C0C">
        <w:rPr>
          <w:b/>
          <w:color w:val="000000" w:themeColor="text1"/>
        </w:rPr>
        <w:lastRenderedPageBreak/>
        <w:t>Irrésistible</w:t>
      </w:r>
      <w:r>
        <w:rPr>
          <w:color w:val="000000" w:themeColor="text1"/>
        </w:rPr>
        <w:t> : L’exécution de l’obligation par le débiteur est impossible, il est dans l’incapacité la plus absolue de s’acquitter de son obligation.</w:t>
      </w:r>
    </w:p>
    <w:p w14:paraId="2F497497" w14:textId="77777777" w:rsidR="004367BA" w:rsidRDefault="004367BA" w:rsidP="003C42A2">
      <w:pPr>
        <w:jc w:val="both"/>
        <w:rPr>
          <w:color w:val="000000" w:themeColor="text1"/>
        </w:rPr>
      </w:pPr>
    </w:p>
    <w:p w14:paraId="300A8718" w14:textId="77777777" w:rsidR="004367BA" w:rsidRDefault="004367BA" w:rsidP="003C42A2">
      <w:pPr>
        <w:jc w:val="both"/>
        <w:rPr>
          <w:color w:val="000000" w:themeColor="text1"/>
        </w:rPr>
      </w:pPr>
      <w:r w:rsidRPr="00716C0C">
        <w:rPr>
          <w:b/>
          <w:color w:val="000000" w:themeColor="text1"/>
        </w:rPr>
        <w:t>Imprévisible</w:t>
      </w:r>
      <w:r>
        <w:rPr>
          <w:color w:val="000000" w:themeColor="text1"/>
        </w:rPr>
        <w:t> : Le débiteur de l’obligation n’était pas en capacité de savoir que l’exécution de son obligation serait impossible (faire le lien avec l’arrêt ce critère est apprécié au moment de la formation du contrat)</w:t>
      </w:r>
    </w:p>
    <w:p w14:paraId="1EED6D13" w14:textId="77777777" w:rsidR="00E50E58" w:rsidRDefault="00E50E58" w:rsidP="003C42A2">
      <w:pPr>
        <w:jc w:val="both"/>
        <w:rPr>
          <w:color w:val="000000" w:themeColor="text1"/>
        </w:rPr>
      </w:pPr>
    </w:p>
    <w:p w14:paraId="157E4513" w14:textId="77777777" w:rsidR="00E50E58" w:rsidRDefault="00E50E58" w:rsidP="003C42A2">
      <w:pPr>
        <w:jc w:val="both"/>
        <w:rPr>
          <w:color w:val="000000" w:themeColor="text1"/>
        </w:rPr>
      </w:pPr>
      <w:r>
        <w:rPr>
          <w:color w:val="000000" w:themeColor="text1"/>
        </w:rPr>
        <w:t>Son appréciation se fait de manière relative : pour illustration :</w:t>
      </w:r>
    </w:p>
    <w:p w14:paraId="282CB535" w14:textId="77777777" w:rsidR="00E50E58" w:rsidRDefault="00E50E58" w:rsidP="003C42A2">
      <w:pPr>
        <w:jc w:val="both"/>
        <w:rPr>
          <w:color w:val="000000" w:themeColor="text1"/>
        </w:rPr>
      </w:pPr>
    </w:p>
    <w:p w14:paraId="56307AC9" w14:textId="77777777" w:rsidR="00E50E58" w:rsidRDefault="00E50E58" w:rsidP="003C42A2">
      <w:pPr>
        <w:jc w:val="both"/>
        <w:rPr>
          <w:color w:val="000000" w:themeColor="text1"/>
        </w:rPr>
      </w:pPr>
      <w:r>
        <w:rPr>
          <w:color w:val="000000" w:themeColor="text1"/>
        </w:rPr>
        <w:t xml:space="preserve"> </w:t>
      </w:r>
      <w:r w:rsidRPr="00E50E58">
        <w:rPr>
          <w:color w:val="000000" w:themeColor="text1"/>
        </w:rPr>
        <w:t>André T</w:t>
      </w:r>
      <w:r>
        <w:rPr>
          <w:color w:val="000000" w:themeColor="text1"/>
        </w:rPr>
        <w:t xml:space="preserve">UNC </w:t>
      </w:r>
      <w:r w:rsidRPr="00E50E58">
        <w:rPr>
          <w:color w:val="000000" w:themeColor="text1"/>
        </w:rPr>
        <w:t>: "rien n’est complètement imprévisible. Les risques sont partout, avec un certain pourcentage. Quand on dit que le fait d’un tiers était imprévisible, on veut dire qu’on n’avait pas à le prévoir ; ou, plus exactement, que même si on avait pu le prévoir, ses chances de réalisation étaient si faibles qu’on pouvait le négliger. Mais il faut bien agir, il faut circuler (...). Or c’est à tout carrefour qu’un enfant ou un animal peut être caché, qui va se jeter sur la route pour la traverser (...). En réalité, ce n’est pas la prévisibilité que l’on envisage, mais la probabilité pour un gardien diligent. Le juge doit rechercher si le conducteur a donné au risque, en soi prévisible, un coefficient de réalisation suffisant et s’il lui était facile, d’autre part, de diminuer ou de supprimer ce risque (...)".</w:t>
      </w:r>
    </w:p>
    <w:p w14:paraId="1CE34444" w14:textId="77777777" w:rsidR="004367BA" w:rsidRDefault="004367BA" w:rsidP="003C42A2">
      <w:pPr>
        <w:jc w:val="both"/>
        <w:rPr>
          <w:color w:val="000000" w:themeColor="text1"/>
        </w:rPr>
      </w:pPr>
    </w:p>
    <w:p w14:paraId="55BEB6F9" w14:textId="77777777" w:rsidR="004367BA" w:rsidRDefault="004367BA" w:rsidP="003C42A2">
      <w:pPr>
        <w:jc w:val="both"/>
        <w:rPr>
          <w:color w:val="000000" w:themeColor="text1"/>
        </w:rPr>
      </w:pPr>
      <w:r w:rsidRPr="00716C0C">
        <w:rPr>
          <w:b/>
          <w:color w:val="000000" w:themeColor="text1"/>
        </w:rPr>
        <w:t>Extérieur</w:t>
      </w:r>
      <w:r>
        <w:rPr>
          <w:color w:val="000000" w:themeColor="text1"/>
        </w:rPr>
        <w:t> : L’événement n’est pas imp</w:t>
      </w:r>
      <w:r w:rsidR="00716C0C">
        <w:rPr>
          <w:color w:val="000000" w:themeColor="text1"/>
        </w:rPr>
        <w:t>utable à l’auteur du préjudice, il est indépendant de sa volonté. (</w:t>
      </w:r>
      <w:proofErr w:type="gramStart"/>
      <w:r w:rsidR="00716C0C">
        <w:rPr>
          <w:color w:val="000000" w:themeColor="text1"/>
        </w:rPr>
        <w:t>ex</w:t>
      </w:r>
      <w:proofErr w:type="gramEnd"/>
      <w:r w:rsidR="00716C0C">
        <w:rPr>
          <w:color w:val="000000" w:themeColor="text1"/>
        </w:rPr>
        <w:t> : catastrophes naturelles, guerres</w:t>
      </w:r>
      <w:r w:rsidR="00E50E58">
        <w:rPr>
          <w:rStyle w:val="Marquenotebasdepage"/>
          <w:color w:val="000000" w:themeColor="text1"/>
        </w:rPr>
        <w:footnoteReference w:id="1"/>
      </w:r>
      <w:r w:rsidR="00E50E58">
        <w:rPr>
          <w:color w:val="000000" w:themeColor="text1"/>
        </w:rPr>
        <w:t>)</w:t>
      </w:r>
    </w:p>
    <w:p w14:paraId="107E593C" w14:textId="77777777" w:rsidR="004367BA" w:rsidRDefault="004367BA" w:rsidP="003C42A2">
      <w:pPr>
        <w:jc w:val="both"/>
        <w:rPr>
          <w:color w:val="000000" w:themeColor="text1"/>
        </w:rPr>
      </w:pPr>
    </w:p>
    <w:p w14:paraId="5A32000D" w14:textId="77777777" w:rsidR="00CD3B85" w:rsidRPr="004367BA" w:rsidRDefault="004367BA" w:rsidP="003C42A2">
      <w:pPr>
        <w:jc w:val="both"/>
        <w:rPr>
          <w:b/>
          <w:color w:val="000000" w:themeColor="text1"/>
        </w:rPr>
      </w:pPr>
      <w:r w:rsidRPr="004367BA">
        <w:rPr>
          <w:b/>
          <w:color w:val="000000" w:themeColor="text1"/>
        </w:rPr>
        <w:t>L’appréciation de ces conditions fait l’objet d’une jurisprudence fluctuante.</w:t>
      </w:r>
    </w:p>
    <w:p w14:paraId="4B38E7D6" w14:textId="77777777" w:rsidR="00CD3B85" w:rsidRDefault="00CD3B85" w:rsidP="003C42A2">
      <w:pPr>
        <w:jc w:val="both"/>
        <w:rPr>
          <w:color w:val="000000" w:themeColor="text1"/>
        </w:rPr>
      </w:pPr>
    </w:p>
    <w:p w14:paraId="6122D2E8" w14:textId="77777777" w:rsidR="00CD3B85" w:rsidRPr="003C42A2" w:rsidRDefault="00CD3B85" w:rsidP="003C42A2">
      <w:pPr>
        <w:jc w:val="both"/>
        <w:rPr>
          <w:color w:val="000000" w:themeColor="text1"/>
        </w:rPr>
      </w:pPr>
    </w:p>
    <w:p w14:paraId="10020A24" w14:textId="77777777" w:rsidR="003D6747" w:rsidRPr="00716C0C" w:rsidRDefault="00C16F29" w:rsidP="00D4445C">
      <w:pPr>
        <w:pStyle w:val="Paragraphedeliste"/>
        <w:numPr>
          <w:ilvl w:val="0"/>
          <w:numId w:val="3"/>
        </w:numPr>
        <w:jc w:val="both"/>
        <w:rPr>
          <w:color w:val="000000" w:themeColor="text1"/>
          <w:u w:val="single"/>
        </w:rPr>
      </w:pPr>
      <w:r w:rsidRPr="00716C0C">
        <w:rPr>
          <w:color w:val="000000" w:themeColor="text1"/>
          <w:u w:val="single"/>
        </w:rPr>
        <w:t xml:space="preserve">L’affirmation du caractère cumulatif des conditions </w:t>
      </w:r>
    </w:p>
    <w:p w14:paraId="394BC438" w14:textId="77777777" w:rsidR="003D6747" w:rsidRDefault="003D6747" w:rsidP="003D6747">
      <w:pPr>
        <w:jc w:val="both"/>
        <w:rPr>
          <w:color w:val="000000" w:themeColor="text1"/>
        </w:rPr>
      </w:pPr>
    </w:p>
    <w:p w14:paraId="2AB37A94" w14:textId="77777777" w:rsidR="00E50E58" w:rsidRDefault="00E50E58" w:rsidP="003D6747">
      <w:pPr>
        <w:jc w:val="both"/>
        <w:rPr>
          <w:color w:val="000000" w:themeColor="text1"/>
        </w:rPr>
      </w:pPr>
    </w:p>
    <w:p w14:paraId="42723843" w14:textId="77777777" w:rsidR="00716C0C" w:rsidRDefault="00716C0C" w:rsidP="003D6747">
      <w:pPr>
        <w:jc w:val="both"/>
        <w:rPr>
          <w:color w:val="000000" w:themeColor="text1"/>
        </w:rPr>
      </w:pPr>
      <w:r>
        <w:rPr>
          <w:color w:val="000000" w:themeColor="text1"/>
        </w:rPr>
        <w:t>La caractérisation de la force majeure a longtemps varié selon les juridictions,  il s’agit d’un concept flou source d’insécurité juridique.</w:t>
      </w:r>
    </w:p>
    <w:p w14:paraId="32E53A88" w14:textId="77777777" w:rsidR="00716C0C" w:rsidRDefault="00716C0C" w:rsidP="003D6747">
      <w:pPr>
        <w:jc w:val="both"/>
        <w:rPr>
          <w:color w:val="000000" w:themeColor="text1"/>
        </w:rPr>
      </w:pPr>
    </w:p>
    <w:p w14:paraId="1F03453B" w14:textId="77777777" w:rsidR="00716C0C" w:rsidRDefault="00716C0C" w:rsidP="003D6747">
      <w:pPr>
        <w:jc w:val="both"/>
        <w:rPr>
          <w:color w:val="000000" w:themeColor="text1"/>
        </w:rPr>
      </w:pPr>
      <w:r>
        <w:rPr>
          <w:color w:val="000000" w:themeColor="text1"/>
        </w:rPr>
        <w:t xml:space="preserve">Illustrations :  </w:t>
      </w:r>
    </w:p>
    <w:p w14:paraId="5B83A965" w14:textId="77777777" w:rsidR="00716C0C" w:rsidRDefault="00716C0C" w:rsidP="003D6747">
      <w:pPr>
        <w:jc w:val="both"/>
        <w:rPr>
          <w:color w:val="000000" w:themeColor="text1"/>
        </w:rPr>
      </w:pPr>
    </w:p>
    <w:p w14:paraId="65067409" w14:textId="77777777" w:rsidR="004367BA" w:rsidRDefault="00716C0C" w:rsidP="004367BA">
      <w:pPr>
        <w:pStyle w:val="NormalWeb"/>
        <w:spacing w:before="0" w:beforeAutospacing="0" w:after="0" w:afterAutospacing="0"/>
        <w:jc w:val="both"/>
        <w:textAlignment w:val="baseline"/>
        <w:rPr>
          <w:rFonts w:asciiTheme="minorHAnsi" w:hAnsiTheme="minorHAnsi"/>
          <w:i/>
          <w:color w:val="000000" w:themeColor="text1"/>
          <w:sz w:val="24"/>
          <w:szCs w:val="24"/>
        </w:rPr>
      </w:pPr>
      <w:r w:rsidRPr="00716C0C">
        <w:rPr>
          <w:rFonts w:ascii="Cambria" w:hAnsi="Cambria"/>
          <w:color w:val="000000" w:themeColor="text1"/>
          <w:sz w:val="24"/>
          <w:szCs w:val="24"/>
        </w:rPr>
        <w:t>1</w:t>
      </w:r>
      <w:r w:rsidRPr="00716C0C">
        <w:rPr>
          <w:rFonts w:ascii="Cambria" w:hAnsi="Cambria"/>
          <w:color w:val="000000" w:themeColor="text1"/>
          <w:sz w:val="24"/>
          <w:szCs w:val="24"/>
          <w:vertAlign w:val="superscript"/>
        </w:rPr>
        <w:t>ère</w:t>
      </w:r>
      <w:r w:rsidRPr="00716C0C">
        <w:rPr>
          <w:rFonts w:ascii="Cambria" w:hAnsi="Cambria"/>
          <w:color w:val="000000" w:themeColor="text1"/>
          <w:sz w:val="24"/>
          <w:szCs w:val="24"/>
        </w:rPr>
        <w:t xml:space="preserve"> civ </w:t>
      </w:r>
      <w:r w:rsidR="004367BA" w:rsidRPr="00716C0C">
        <w:rPr>
          <w:rFonts w:ascii="Cambria" w:hAnsi="Cambria"/>
          <w:color w:val="000000" w:themeColor="text1"/>
          <w:sz w:val="24"/>
          <w:szCs w:val="24"/>
        </w:rPr>
        <w:t xml:space="preserve">9 mars 1994, </w:t>
      </w:r>
      <w:r>
        <w:rPr>
          <w:rFonts w:ascii="Cambria" w:hAnsi="Cambria"/>
          <w:color w:val="000000" w:themeColor="text1"/>
          <w:sz w:val="24"/>
          <w:szCs w:val="24"/>
        </w:rPr>
        <w:t>les juges ont considéré que</w:t>
      </w:r>
      <w:r w:rsidR="004367BA" w:rsidRPr="00716C0C">
        <w:rPr>
          <w:rFonts w:ascii="Cambria" w:hAnsi="Cambria"/>
          <w:i/>
          <w:color w:val="000000" w:themeColor="text1"/>
          <w:sz w:val="24"/>
          <w:szCs w:val="24"/>
        </w:rPr>
        <w:t xml:space="preserve"> « </w:t>
      </w:r>
      <w:r w:rsidR="004367BA" w:rsidRPr="00716C0C">
        <w:rPr>
          <w:rStyle w:val="Accentuation"/>
          <w:rFonts w:ascii="Cambria" w:hAnsi="Cambria"/>
          <w:i w:val="0"/>
          <w:color w:val="000000" w:themeColor="text1"/>
          <w:sz w:val="24"/>
          <w:szCs w:val="24"/>
          <w:bdr w:val="none" w:sz="0" w:space="0" w:color="auto" w:frame="1"/>
        </w:rPr>
        <w:t xml:space="preserve">si l’irrésistibilité de l’événement est, à elle seule, </w:t>
      </w:r>
      <w:r w:rsidR="004367BA" w:rsidRPr="00716C0C">
        <w:rPr>
          <w:rStyle w:val="Accentuation"/>
          <w:rFonts w:asciiTheme="minorHAnsi" w:hAnsiTheme="minorHAnsi"/>
          <w:i w:val="0"/>
          <w:color w:val="000000" w:themeColor="text1"/>
          <w:sz w:val="24"/>
          <w:szCs w:val="24"/>
          <w:bdr w:val="none" w:sz="0" w:space="0" w:color="auto" w:frame="1"/>
        </w:rPr>
        <w:t>constitutive de la force majeure, lorsque sa prévision ne saurait permettre d’en empêcher les effets, encore faut-il que le débiteur ait pris toutes les mesures requises pour éviter la réalisation de cet événement</w:t>
      </w:r>
      <w:r w:rsidR="004367BA" w:rsidRPr="00716C0C">
        <w:rPr>
          <w:rFonts w:asciiTheme="minorHAnsi" w:hAnsiTheme="minorHAnsi"/>
          <w:i/>
          <w:color w:val="000000" w:themeColor="text1"/>
          <w:sz w:val="24"/>
          <w:szCs w:val="24"/>
        </w:rPr>
        <w:t> »</w:t>
      </w:r>
    </w:p>
    <w:p w14:paraId="439E7022" w14:textId="77777777" w:rsidR="00716C0C" w:rsidRPr="00716C0C" w:rsidRDefault="00716C0C" w:rsidP="004367BA">
      <w:pPr>
        <w:pStyle w:val="NormalWeb"/>
        <w:spacing w:before="0" w:beforeAutospacing="0" w:after="0" w:afterAutospacing="0"/>
        <w:jc w:val="both"/>
        <w:textAlignment w:val="baseline"/>
        <w:rPr>
          <w:rFonts w:asciiTheme="minorHAnsi" w:hAnsiTheme="minorHAnsi"/>
          <w:i/>
          <w:color w:val="000000" w:themeColor="text1"/>
          <w:sz w:val="24"/>
          <w:szCs w:val="24"/>
        </w:rPr>
      </w:pPr>
    </w:p>
    <w:p w14:paraId="3040B3A6" w14:textId="77777777" w:rsidR="004367BA" w:rsidRPr="00716C0C" w:rsidRDefault="004367BA" w:rsidP="004367BA">
      <w:pPr>
        <w:pStyle w:val="NormalWeb"/>
        <w:spacing w:before="0" w:beforeAutospacing="0" w:after="0" w:afterAutospacing="0"/>
        <w:jc w:val="both"/>
        <w:textAlignment w:val="baseline"/>
        <w:rPr>
          <w:rFonts w:asciiTheme="minorHAnsi" w:hAnsiTheme="minorHAnsi"/>
          <w:color w:val="000000" w:themeColor="text1"/>
          <w:sz w:val="24"/>
          <w:szCs w:val="24"/>
        </w:rPr>
      </w:pPr>
      <w:r w:rsidRPr="00716C0C">
        <w:rPr>
          <w:rFonts w:asciiTheme="minorHAnsi" w:hAnsiTheme="minorHAnsi"/>
          <w:color w:val="000000" w:themeColor="text1"/>
          <w:sz w:val="24"/>
          <w:szCs w:val="24"/>
        </w:rPr>
        <w:t>Puis, dans un arrêt du 13 juillet 2000, la Cour de cassation a de nouveau exigé que, pour être caractérisée, la force majeure soit cumulativement irrésistible et imprévisible</w:t>
      </w:r>
      <w:r w:rsidRPr="00716C0C">
        <w:rPr>
          <w:rFonts w:asciiTheme="minorHAnsi" w:hAnsiTheme="minorHAnsi"/>
          <w:i/>
          <w:color w:val="000000" w:themeColor="text1"/>
          <w:sz w:val="24"/>
          <w:szCs w:val="24"/>
        </w:rPr>
        <w:t xml:space="preserve"> (</w:t>
      </w:r>
      <w:proofErr w:type="spellStart"/>
      <w:r w:rsidRPr="00716C0C">
        <w:rPr>
          <w:rStyle w:val="Accentuation"/>
          <w:rFonts w:asciiTheme="minorHAnsi" w:hAnsiTheme="minorHAnsi"/>
          <w:i w:val="0"/>
          <w:color w:val="000000" w:themeColor="text1"/>
          <w:sz w:val="24"/>
          <w:szCs w:val="24"/>
          <w:u w:val="single"/>
          <w:bdr w:val="none" w:sz="0" w:space="0" w:color="auto" w:frame="1"/>
        </w:rPr>
        <w:t>Cass</w:t>
      </w:r>
      <w:proofErr w:type="spellEnd"/>
      <w:r w:rsidRPr="00716C0C">
        <w:rPr>
          <w:rStyle w:val="Accentuation"/>
          <w:rFonts w:asciiTheme="minorHAnsi" w:hAnsiTheme="minorHAnsi"/>
          <w:i w:val="0"/>
          <w:color w:val="000000" w:themeColor="text1"/>
          <w:sz w:val="24"/>
          <w:szCs w:val="24"/>
          <w:u w:val="single"/>
          <w:bdr w:val="none" w:sz="0" w:space="0" w:color="auto" w:frame="1"/>
        </w:rPr>
        <w:t xml:space="preserve">. 2e </w:t>
      </w:r>
      <w:proofErr w:type="gramStart"/>
      <w:r w:rsidRPr="00716C0C">
        <w:rPr>
          <w:rStyle w:val="Accentuation"/>
          <w:rFonts w:asciiTheme="minorHAnsi" w:hAnsiTheme="minorHAnsi"/>
          <w:i w:val="0"/>
          <w:color w:val="000000" w:themeColor="text1"/>
          <w:sz w:val="24"/>
          <w:szCs w:val="24"/>
          <w:u w:val="single"/>
          <w:bdr w:val="none" w:sz="0" w:space="0" w:color="auto" w:frame="1"/>
        </w:rPr>
        <w:t>civ.,</w:t>
      </w:r>
      <w:proofErr w:type="gramEnd"/>
      <w:r w:rsidRPr="00716C0C">
        <w:rPr>
          <w:rStyle w:val="Accentuation"/>
          <w:rFonts w:asciiTheme="minorHAnsi" w:hAnsiTheme="minorHAnsi"/>
          <w:i w:val="0"/>
          <w:color w:val="000000" w:themeColor="text1"/>
          <w:sz w:val="24"/>
          <w:szCs w:val="24"/>
          <w:u w:val="single"/>
          <w:bdr w:val="none" w:sz="0" w:space="0" w:color="auto" w:frame="1"/>
        </w:rPr>
        <w:t xml:space="preserve"> 13 juill. 2000, n° 98-21.530</w:t>
      </w:r>
      <w:r w:rsidRPr="00716C0C">
        <w:rPr>
          <w:rFonts w:asciiTheme="minorHAnsi" w:hAnsiTheme="minorHAnsi"/>
          <w:i/>
          <w:color w:val="000000" w:themeColor="text1"/>
          <w:sz w:val="24"/>
          <w:szCs w:val="24"/>
        </w:rPr>
        <w:t>).</w:t>
      </w:r>
    </w:p>
    <w:p w14:paraId="3D38C557" w14:textId="77777777" w:rsidR="00716C0C" w:rsidRPr="00716C0C" w:rsidRDefault="00716C0C" w:rsidP="004367BA">
      <w:pPr>
        <w:pStyle w:val="NormalWeb"/>
        <w:spacing w:before="0" w:beforeAutospacing="0" w:after="0" w:afterAutospacing="0"/>
        <w:jc w:val="both"/>
        <w:textAlignment w:val="baseline"/>
        <w:rPr>
          <w:rFonts w:asciiTheme="minorHAnsi" w:hAnsiTheme="minorHAnsi"/>
          <w:i/>
          <w:color w:val="000000" w:themeColor="text1"/>
          <w:sz w:val="24"/>
          <w:szCs w:val="24"/>
        </w:rPr>
      </w:pPr>
    </w:p>
    <w:p w14:paraId="45F772DF" w14:textId="77777777" w:rsidR="004367BA" w:rsidRPr="00716C0C" w:rsidRDefault="00716C0C" w:rsidP="004367BA">
      <w:pPr>
        <w:pStyle w:val="NormalWeb"/>
        <w:spacing w:before="0" w:beforeAutospacing="0" w:after="0" w:afterAutospacing="0"/>
        <w:jc w:val="both"/>
        <w:textAlignment w:val="baseline"/>
        <w:rPr>
          <w:rFonts w:asciiTheme="minorHAnsi" w:hAnsiTheme="minorHAnsi"/>
          <w:i/>
          <w:color w:val="000000" w:themeColor="text1"/>
          <w:sz w:val="24"/>
          <w:szCs w:val="24"/>
        </w:rPr>
      </w:pPr>
      <w:r w:rsidRPr="00716C0C">
        <w:rPr>
          <w:rFonts w:asciiTheme="minorHAnsi" w:hAnsiTheme="minorHAnsi"/>
          <w:color w:val="000000" w:themeColor="text1"/>
          <w:sz w:val="24"/>
          <w:szCs w:val="24"/>
        </w:rPr>
        <w:t xml:space="preserve">Un nouveau revirement dans un </w:t>
      </w:r>
      <w:r w:rsidR="004367BA" w:rsidRPr="00716C0C">
        <w:rPr>
          <w:rFonts w:asciiTheme="minorHAnsi" w:hAnsiTheme="minorHAnsi"/>
          <w:color w:val="000000" w:themeColor="text1"/>
          <w:sz w:val="24"/>
          <w:szCs w:val="24"/>
        </w:rPr>
        <w:t xml:space="preserve"> arrêt</w:t>
      </w:r>
      <w:r w:rsidRPr="00716C0C">
        <w:rPr>
          <w:rFonts w:asciiTheme="minorHAnsi" w:hAnsiTheme="minorHAnsi"/>
          <w:color w:val="000000" w:themeColor="text1"/>
          <w:sz w:val="24"/>
          <w:szCs w:val="24"/>
        </w:rPr>
        <w:t xml:space="preserve"> de la 1</w:t>
      </w:r>
      <w:r w:rsidRPr="00716C0C">
        <w:rPr>
          <w:rFonts w:asciiTheme="minorHAnsi" w:hAnsiTheme="minorHAnsi"/>
          <w:color w:val="000000" w:themeColor="text1"/>
          <w:sz w:val="24"/>
          <w:szCs w:val="24"/>
          <w:vertAlign w:val="superscript"/>
        </w:rPr>
        <w:t>ère</w:t>
      </w:r>
      <w:r w:rsidRPr="00716C0C">
        <w:rPr>
          <w:rFonts w:asciiTheme="minorHAnsi" w:hAnsiTheme="minorHAnsi"/>
          <w:color w:val="000000" w:themeColor="text1"/>
          <w:sz w:val="24"/>
          <w:szCs w:val="24"/>
        </w:rPr>
        <w:t xml:space="preserve"> </w:t>
      </w:r>
      <w:proofErr w:type="spellStart"/>
      <w:r w:rsidRPr="00716C0C">
        <w:rPr>
          <w:rFonts w:asciiTheme="minorHAnsi" w:hAnsiTheme="minorHAnsi"/>
          <w:color w:val="000000" w:themeColor="text1"/>
          <w:sz w:val="24"/>
          <w:szCs w:val="24"/>
        </w:rPr>
        <w:t>Civ</w:t>
      </w:r>
      <w:proofErr w:type="spellEnd"/>
      <w:r w:rsidR="004367BA" w:rsidRPr="00716C0C">
        <w:rPr>
          <w:rFonts w:asciiTheme="minorHAnsi" w:hAnsiTheme="minorHAnsi"/>
          <w:color w:val="000000" w:themeColor="text1"/>
          <w:sz w:val="24"/>
          <w:szCs w:val="24"/>
        </w:rPr>
        <w:t xml:space="preserve"> du 6 novembre 2002, en affirmant que</w:t>
      </w:r>
      <w:r w:rsidR="004367BA" w:rsidRPr="00716C0C">
        <w:rPr>
          <w:rFonts w:asciiTheme="minorHAnsi" w:hAnsiTheme="minorHAnsi"/>
          <w:i/>
          <w:color w:val="000000" w:themeColor="text1"/>
          <w:sz w:val="24"/>
          <w:szCs w:val="24"/>
        </w:rPr>
        <w:t xml:space="preserve"> « </w:t>
      </w:r>
      <w:r w:rsidR="004367BA" w:rsidRPr="00716C0C">
        <w:rPr>
          <w:rStyle w:val="Accentuation"/>
          <w:rFonts w:asciiTheme="minorHAnsi" w:hAnsiTheme="minorHAnsi"/>
          <w:i w:val="0"/>
          <w:color w:val="000000" w:themeColor="text1"/>
          <w:sz w:val="24"/>
          <w:szCs w:val="24"/>
          <w:bdr w:val="none" w:sz="0" w:space="0" w:color="auto" w:frame="1"/>
        </w:rPr>
        <w:t>la seule irrésistibilité de l’événement caractérise la force majeure </w:t>
      </w:r>
      <w:r w:rsidR="004367BA" w:rsidRPr="00716C0C">
        <w:rPr>
          <w:rFonts w:asciiTheme="minorHAnsi" w:hAnsiTheme="minorHAnsi"/>
          <w:i/>
          <w:color w:val="000000" w:themeColor="text1"/>
          <w:sz w:val="24"/>
          <w:szCs w:val="24"/>
        </w:rPr>
        <w:t>» (</w:t>
      </w:r>
      <w:proofErr w:type="spellStart"/>
      <w:r w:rsidR="004367BA" w:rsidRPr="00716C0C">
        <w:rPr>
          <w:rStyle w:val="Accentuation"/>
          <w:rFonts w:asciiTheme="minorHAnsi" w:hAnsiTheme="minorHAnsi"/>
          <w:i w:val="0"/>
          <w:color w:val="000000" w:themeColor="text1"/>
          <w:sz w:val="24"/>
          <w:szCs w:val="24"/>
          <w:u w:val="single"/>
          <w:bdr w:val="none" w:sz="0" w:space="0" w:color="auto" w:frame="1"/>
        </w:rPr>
        <w:t>Cass</w:t>
      </w:r>
      <w:proofErr w:type="spellEnd"/>
      <w:r w:rsidR="004367BA" w:rsidRPr="00716C0C">
        <w:rPr>
          <w:rStyle w:val="Accentuation"/>
          <w:rFonts w:asciiTheme="minorHAnsi" w:hAnsiTheme="minorHAnsi"/>
          <w:i w:val="0"/>
          <w:color w:val="000000" w:themeColor="text1"/>
          <w:sz w:val="24"/>
          <w:szCs w:val="24"/>
          <w:u w:val="single"/>
          <w:bdr w:val="none" w:sz="0" w:space="0" w:color="auto" w:frame="1"/>
        </w:rPr>
        <w:t xml:space="preserve">. 1re </w:t>
      </w:r>
      <w:proofErr w:type="gramStart"/>
      <w:r w:rsidR="004367BA" w:rsidRPr="00716C0C">
        <w:rPr>
          <w:rStyle w:val="Accentuation"/>
          <w:rFonts w:asciiTheme="minorHAnsi" w:hAnsiTheme="minorHAnsi"/>
          <w:i w:val="0"/>
          <w:color w:val="000000" w:themeColor="text1"/>
          <w:sz w:val="24"/>
          <w:szCs w:val="24"/>
          <w:u w:val="single"/>
          <w:bdr w:val="none" w:sz="0" w:space="0" w:color="auto" w:frame="1"/>
        </w:rPr>
        <w:t>civ.,</w:t>
      </w:r>
      <w:proofErr w:type="gramEnd"/>
      <w:r w:rsidR="004367BA" w:rsidRPr="00716C0C">
        <w:rPr>
          <w:rStyle w:val="Accentuation"/>
          <w:rFonts w:asciiTheme="minorHAnsi" w:hAnsiTheme="minorHAnsi"/>
          <w:i w:val="0"/>
          <w:color w:val="000000" w:themeColor="text1"/>
          <w:sz w:val="24"/>
          <w:szCs w:val="24"/>
          <w:u w:val="single"/>
          <w:bdr w:val="none" w:sz="0" w:space="0" w:color="auto" w:frame="1"/>
        </w:rPr>
        <w:t xml:space="preserve"> 6 nov. 2002, n° 99-21.203</w:t>
      </w:r>
      <w:r w:rsidR="004367BA" w:rsidRPr="00716C0C">
        <w:rPr>
          <w:rFonts w:asciiTheme="minorHAnsi" w:hAnsiTheme="minorHAnsi"/>
          <w:i/>
          <w:color w:val="000000" w:themeColor="text1"/>
          <w:sz w:val="24"/>
          <w:szCs w:val="24"/>
        </w:rPr>
        <w:t>).</w:t>
      </w:r>
    </w:p>
    <w:p w14:paraId="40FEADCD" w14:textId="77777777" w:rsidR="00716C0C" w:rsidRPr="00716C0C" w:rsidRDefault="00716C0C" w:rsidP="004367BA">
      <w:pPr>
        <w:pStyle w:val="NormalWeb"/>
        <w:spacing w:before="0" w:beforeAutospacing="0" w:after="0" w:afterAutospacing="0"/>
        <w:jc w:val="both"/>
        <w:textAlignment w:val="baseline"/>
        <w:rPr>
          <w:rFonts w:asciiTheme="minorHAnsi" w:hAnsiTheme="minorHAnsi"/>
          <w:i/>
          <w:color w:val="000000" w:themeColor="text1"/>
          <w:sz w:val="24"/>
          <w:szCs w:val="24"/>
        </w:rPr>
      </w:pPr>
    </w:p>
    <w:p w14:paraId="055E74AE" w14:textId="77777777" w:rsidR="00716C0C" w:rsidRPr="00716C0C" w:rsidRDefault="00716C0C" w:rsidP="004367BA">
      <w:pPr>
        <w:pStyle w:val="NormalWeb"/>
        <w:spacing w:before="0" w:beforeAutospacing="0" w:after="0" w:afterAutospacing="0"/>
        <w:jc w:val="both"/>
        <w:textAlignment w:val="baseline"/>
        <w:rPr>
          <w:rFonts w:asciiTheme="minorHAnsi" w:hAnsiTheme="minorHAnsi"/>
          <w:i/>
          <w:color w:val="000000" w:themeColor="text1"/>
          <w:sz w:val="24"/>
          <w:szCs w:val="24"/>
        </w:rPr>
      </w:pPr>
    </w:p>
    <w:p w14:paraId="13AEFD92" w14:textId="77777777" w:rsidR="004367BA" w:rsidRPr="00716C0C" w:rsidRDefault="00716C0C" w:rsidP="004367BA">
      <w:pPr>
        <w:pStyle w:val="NormalWeb"/>
        <w:spacing w:before="0" w:beforeAutospacing="0" w:after="360" w:afterAutospacing="0"/>
        <w:jc w:val="both"/>
        <w:textAlignment w:val="baseline"/>
        <w:rPr>
          <w:rFonts w:asciiTheme="minorHAnsi" w:hAnsiTheme="minorHAnsi"/>
          <w:color w:val="000000" w:themeColor="text1"/>
          <w:sz w:val="24"/>
          <w:szCs w:val="24"/>
        </w:rPr>
      </w:pPr>
      <w:r w:rsidRPr="00716C0C">
        <w:rPr>
          <w:rFonts w:asciiTheme="minorHAnsi" w:hAnsiTheme="minorHAnsi"/>
          <w:color w:val="000000" w:themeColor="text1"/>
          <w:sz w:val="24"/>
          <w:szCs w:val="24"/>
        </w:rPr>
        <w:t>Ce sont plusieurs arrêts d’Assemblée plénière (dont le notre) du</w:t>
      </w:r>
      <w:r w:rsidR="004367BA" w:rsidRPr="00716C0C">
        <w:rPr>
          <w:rFonts w:asciiTheme="minorHAnsi" w:hAnsiTheme="minorHAnsi"/>
          <w:color w:val="000000" w:themeColor="text1"/>
          <w:sz w:val="24"/>
          <w:szCs w:val="24"/>
        </w:rPr>
        <w:t xml:space="preserve"> 14 avril 2006 </w:t>
      </w:r>
      <w:r w:rsidRPr="00716C0C">
        <w:rPr>
          <w:rFonts w:asciiTheme="minorHAnsi" w:hAnsiTheme="minorHAnsi"/>
          <w:color w:val="000000" w:themeColor="text1"/>
          <w:sz w:val="24"/>
          <w:szCs w:val="24"/>
        </w:rPr>
        <w:t>qui viennent trancher</w:t>
      </w:r>
      <w:r w:rsidR="004367BA" w:rsidRPr="00716C0C">
        <w:rPr>
          <w:rFonts w:asciiTheme="minorHAnsi" w:hAnsiTheme="minorHAnsi"/>
          <w:color w:val="000000" w:themeColor="text1"/>
          <w:sz w:val="24"/>
          <w:szCs w:val="24"/>
        </w:rPr>
        <w:t xml:space="preserve"> en </w:t>
      </w:r>
      <w:r w:rsidRPr="00716C0C">
        <w:rPr>
          <w:rFonts w:asciiTheme="minorHAnsi" w:hAnsiTheme="minorHAnsi"/>
          <w:color w:val="000000" w:themeColor="text1"/>
          <w:sz w:val="24"/>
          <w:szCs w:val="24"/>
        </w:rPr>
        <w:t xml:space="preserve">considérant que </w:t>
      </w:r>
      <w:r w:rsidR="004367BA" w:rsidRPr="00716C0C">
        <w:rPr>
          <w:rFonts w:asciiTheme="minorHAnsi" w:hAnsiTheme="minorHAnsi"/>
          <w:color w:val="000000" w:themeColor="text1"/>
          <w:sz w:val="24"/>
          <w:szCs w:val="24"/>
        </w:rPr>
        <w:t>:</w:t>
      </w:r>
    </w:p>
    <w:p w14:paraId="3B429305" w14:textId="77777777" w:rsidR="004367BA" w:rsidRDefault="004367BA" w:rsidP="004367BA">
      <w:pPr>
        <w:pStyle w:val="NormalWeb"/>
        <w:spacing w:before="0" w:beforeAutospacing="0" w:after="0" w:afterAutospacing="0"/>
        <w:jc w:val="both"/>
        <w:textAlignment w:val="baseline"/>
        <w:rPr>
          <w:rFonts w:asciiTheme="minorHAnsi" w:hAnsiTheme="minorHAnsi"/>
          <w:i/>
          <w:color w:val="000000" w:themeColor="text1"/>
          <w:sz w:val="24"/>
          <w:szCs w:val="24"/>
        </w:rPr>
      </w:pPr>
      <w:r w:rsidRPr="00716C0C">
        <w:rPr>
          <w:rFonts w:asciiTheme="minorHAnsi" w:hAnsiTheme="minorHAnsi"/>
          <w:i/>
          <w:color w:val="000000" w:themeColor="text1"/>
          <w:sz w:val="24"/>
          <w:szCs w:val="24"/>
        </w:rPr>
        <w:t>« </w:t>
      </w:r>
      <w:r w:rsidRPr="00716C0C">
        <w:rPr>
          <w:rStyle w:val="Accentuation"/>
          <w:rFonts w:asciiTheme="minorHAnsi" w:hAnsiTheme="minorHAnsi"/>
          <w:i w:val="0"/>
          <w:color w:val="000000" w:themeColor="text1"/>
          <w:sz w:val="24"/>
          <w:szCs w:val="24"/>
          <w:bdr w:val="none" w:sz="0" w:space="0" w:color="auto" w:frame="1"/>
        </w:rPr>
        <w:t>il n’y a lieu à aucuns dommages-intérêts lorsque, par suite d’une force majeure ou d’un cas fortuit, le débiteur a été empêché de donner ou de faire ce à quoi il était obligé, ou a fait ce qui lui était interdit ; qu’il en est ainsi lorsque le débiteur a été empêché d’exécuter par la maladie, dès lors que cet événement, présentant un caractère imprévisible lors de la conclusion du contrat et irrésistible dans son exécution, est constitutif d’un cas de force majeure</w:t>
      </w:r>
      <w:r w:rsidRPr="00716C0C">
        <w:rPr>
          <w:rFonts w:asciiTheme="minorHAnsi" w:hAnsiTheme="minorHAnsi"/>
          <w:i/>
          <w:color w:val="000000" w:themeColor="text1"/>
          <w:sz w:val="24"/>
          <w:szCs w:val="24"/>
        </w:rPr>
        <w:t xml:space="preserve"> » </w:t>
      </w:r>
    </w:p>
    <w:p w14:paraId="040EFD83" w14:textId="77777777" w:rsidR="00716C0C" w:rsidRPr="00716C0C" w:rsidRDefault="00716C0C" w:rsidP="004367BA">
      <w:pPr>
        <w:pStyle w:val="NormalWeb"/>
        <w:spacing w:before="0" w:beforeAutospacing="0" w:after="0" w:afterAutospacing="0"/>
        <w:jc w:val="both"/>
        <w:textAlignment w:val="baseline"/>
        <w:rPr>
          <w:rFonts w:asciiTheme="minorHAnsi" w:hAnsiTheme="minorHAnsi"/>
          <w:i/>
          <w:color w:val="000000" w:themeColor="text1"/>
          <w:sz w:val="24"/>
          <w:szCs w:val="24"/>
        </w:rPr>
      </w:pPr>
    </w:p>
    <w:p w14:paraId="4E204422" w14:textId="77777777" w:rsidR="004367BA" w:rsidRPr="00716C0C" w:rsidRDefault="00716C0C" w:rsidP="004367BA">
      <w:pPr>
        <w:pStyle w:val="NormalWeb"/>
        <w:spacing w:before="0" w:beforeAutospacing="0" w:after="0" w:afterAutospacing="0"/>
        <w:jc w:val="both"/>
        <w:textAlignment w:val="baseline"/>
        <w:rPr>
          <w:rFonts w:asciiTheme="minorHAnsi" w:hAnsiTheme="minorHAnsi"/>
          <w:color w:val="000000" w:themeColor="text1"/>
          <w:sz w:val="24"/>
          <w:szCs w:val="24"/>
        </w:rPr>
      </w:pPr>
      <w:r w:rsidRPr="00716C0C">
        <w:rPr>
          <w:rStyle w:val="lev"/>
          <w:rFonts w:asciiTheme="minorHAnsi" w:hAnsiTheme="minorHAnsi"/>
          <w:color w:val="000000" w:themeColor="text1"/>
          <w:sz w:val="24"/>
          <w:szCs w:val="24"/>
          <w:bdr w:val="none" w:sz="0" w:space="0" w:color="auto" w:frame="1"/>
        </w:rPr>
        <w:t>L</w:t>
      </w:r>
      <w:r w:rsidR="004367BA" w:rsidRPr="00716C0C">
        <w:rPr>
          <w:rStyle w:val="lev"/>
          <w:rFonts w:asciiTheme="minorHAnsi" w:hAnsiTheme="minorHAnsi"/>
          <w:color w:val="000000" w:themeColor="text1"/>
          <w:sz w:val="24"/>
          <w:szCs w:val="24"/>
          <w:bdr w:val="none" w:sz="0" w:space="0" w:color="auto" w:frame="1"/>
        </w:rPr>
        <w:t>a caractérisation de la force majeure suppose qu’elle remplisse les conditions – cumulatives – d’irrésistibilité et d’imprévisibilité</w:t>
      </w:r>
      <w:r w:rsidR="004367BA" w:rsidRPr="00716C0C">
        <w:rPr>
          <w:rFonts w:asciiTheme="minorHAnsi" w:hAnsiTheme="minorHAnsi"/>
          <w:color w:val="000000" w:themeColor="text1"/>
          <w:sz w:val="24"/>
          <w:szCs w:val="24"/>
        </w:rPr>
        <w:t>.</w:t>
      </w:r>
      <w:r w:rsidRPr="00716C0C">
        <w:rPr>
          <w:rFonts w:asciiTheme="minorHAnsi" w:hAnsiTheme="minorHAnsi"/>
          <w:color w:val="000000" w:themeColor="text1"/>
          <w:sz w:val="24"/>
          <w:szCs w:val="24"/>
        </w:rPr>
        <w:t xml:space="preserve"> </w:t>
      </w:r>
    </w:p>
    <w:p w14:paraId="46E2B95F" w14:textId="77777777" w:rsidR="00716C0C" w:rsidRDefault="00716C0C" w:rsidP="004367BA">
      <w:pPr>
        <w:pStyle w:val="NormalWeb"/>
        <w:spacing w:before="0" w:beforeAutospacing="0" w:after="0" w:afterAutospacing="0"/>
        <w:jc w:val="both"/>
        <w:textAlignment w:val="baseline"/>
        <w:rPr>
          <w:rFonts w:asciiTheme="minorHAnsi" w:hAnsiTheme="minorHAnsi"/>
          <w:i/>
          <w:color w:val="000000" w:themeColor="text1"/>
          <w:sz w:val="24"/>
          <w:szCs w:val="24"/>
        </w:rPr>
      </w:pPr>
    </w:p>
    <w:p w14:paraId="02EE565F" w14:textId="77777777" w:rsidR="00716C0C" w:rsidRPr="00E50E58" w:rsidRDefault="00716C0C" w:rsidP="00E50E58">
      <w:pPr>
        <w:pStyle w:val="NormalWeb"/>
        <w:spacing w:before="0" w:beforeAutospacing="0" w:after="0" w:afterAutospacing="0"/>
        <w:jc w:val="both"/>
        <w:textAlignment w:val="baseline"/>
        <w:rPr>
          <w:rFonts w:asciiTheme="minorHAnsi" w:hAnsiTheme="minorHAnsi"/>
          <w:b/>
          <w:bCs/>
          <w:color w:val="000000" w:themeColor="text1"/>
          <w:sz w:val="24"/>
          <w:szCs w:val="24"/>
          <w:bdr w:val="none" w:sz="0" w:space="0" w:color="auto" w:frame="1"/>
        </w:rPr>
      </w:pPr>
      <w:r>
        <w:rPr>
          <w:rFonts w:asciiTheme="minorHAnsi" w:hAnsiTheme="minorHAnsi"/>
          <w:color w:val="000000" w:themeColor="text1"/>
          <w:sz w:val="24"/>
          <w:szCs w:val="24"/>
        </w:rPr>
        <w:t xml:space="preserve">Critique sur l’importance du critère d’extériorité. </w:t>
      </w:r>
    </w:p>
    <w:p w14:paraId="0C741A5C" w14:textId="77777777" w:rsidR="00716C0C" w:rsidRDefault="00716C0C" w:rsidP="003D6747">
      <w:pPr>
        <w:jc w:val="both"/>
        <w:rPr>
          <w:color w:val="000000" w:themeColor="text1"/>
        </w:rPr>
      </w:pPr>
    </w:p>
    <w:p w14:paraId="5D23F677" w14:textId="77777777" w:rsidR="00716C0C" w:rsidRDefault="00716C0C" w:rsidP="003D6747">
      <w:pPr>
        <w:jc w:val="both"/>
        <w:rPr>
          <w:color w:val="000000" w:themeColor="text1"/>
        </w:rPr>
      </w:pPr>
    </w:p>
    <w:p w14:paraId="47B32928" w14:textId="77777777" w:rsidR="00716C0C" w:rsidRDefault="00716C0C" w:rsidP="003D6747">
      <w:pPr>
        <w:jc w:val="both"/>
        <w:rPr>
          <w:color w:val="000000" w:themeColor="text1"/>
        </w:rPr>
      </w:pPr>
    </w:p>
    <w:p w14:paraId="3F3ED0B4" w14:textId="0BE96251" w:rsidR="003D6747" w:rsidRPr="003D6747" w:rsidRDefault="003D6747" w:rsidP="003D6747">
      <w:pPr>
        <w:ind w:left="708"/>
        <w:jc w:val="both"/>
        <w:rPr>
          <w:color w:val="000000" w:themeColor="text1"/>
        </w:rPr>
      </w:pPr>
      <w:r>
        <w:rPr>
          <w:color w:val="000000" w:themeColor="text1"/>
        </w:rPr>
        <w:t xml:space="preserve">II. </w:t>
      </w:r>
      <w:r>
        <w:rPr>
          <w:color w:val="000000" w:themeColor="text1"/>
        </w:rPr>
        <w:tab/>
      </w:r>
      <w:r w:rsidRPr="00063C50">
        <w:rPr>
          <w:color w:val="000000" w:themeColor="text1"/>
          <w:u w:val="single"/>
        </w:rPr>
        <w:t xml:space="preserve"> La justification (</w:t>
      </w:r>
      <w:r w:rsidR="003C42A2" w:rsidRPr="00063C50">
        <w:rPr>
          <w:color w:val="000000" w:themeColor="text1"/>
          <w:u w:val="single"/>
        </w:rPr>
        <w:t>critiquable</w:t>
      </w:r>
      <w:r w:rsidRPr="00063C50">
        <w:rPr>
          <w:color w:val="000000" w:themeColor="text1"/>
          <w:u w:val="single"/>
        </w:rPr>
        <w:t>) de l’inexécution du contrat du débiteur</w:t>
      </w:r>
      <w:r>
        <w:rPr>
          <w:color w:val="000000" w:themeColor="text1"/>
        </w:rPr>
        <w:t xml:space="preserve"> </w:t>
      </w:r>
    </w:p>
    <w:p w14:paraId="67D955D1" w14:textId="77777777" w:rsidR="003C7BDB" w:rsidRDefault="003C7BDB" w:rsidP="003C7BDB">
      <w:pPr>
        <w:ind w:left="708"/>
        <w:jc w:val="both"/>
      </w:pPr>
    </w:p>
    <w:p w14:paraId="17BE1742" w14:textId="77777777" w:rsidR="00716C0C" w:rsidRDefault="00716C0C" w:rsidP="003C7BDB">
      <w:pPr>
        <w:ind w:left="708"/>
        <w:jc w:val="both"/>
      </w:pPr>
    </w:p>
    <w:p w14:paraId="728EFAC4" w14:textId="77777777" w:rsidR="003C42A2" w:rsidRPr="00063C50" w:rsidRDefault="003C42A2" w:rsidP="003C42A2">
      <w:pPr>
        <w:pStyle w:val="Paragraphedeliste"/>
        <w:numPr>
          <w:ilvl w:val="0"/>
          <w:numId w:val="4"/>
        </w:numPr>
        <w:jc w:val="both"/>
        <w:rPr>
          <w:u w:val="single"/>
        </w:rPr>
      </w:pPr>
      <w:r w:rsidRPr="00063C50">
        <w:rPr>
          <w:color w:val="000000" w:themeColor="text1"/>
          <w:u w:val="single"/>
        </w:rPr>
        <w:t xml:space="preserve">La </w:t>
      </w:r>
      <w:r w:rsidR="00E50E58" w:rsidRPr="00063C50">
        <w:rPr>
          <w:color w:val="000000" w:themeColor="text1"/>
          <w:u w:val="single"/>
        </w:rPr>
        <w:t>réorganisation</w:t>
      </w:r>
      <w:r w:rsidRPr="00063C50">
        <w:rPr>
          <w:color w:val="000000" w:themeColor="text1"/>
          <w:u w:val="single"/>
        </w:rPr>
        <w:t xml:space="preserve"> des conditions d’application de</w:t>
      </w:r>
      <w:r w:rsidR="00063C50">
        <w:rPr>
          <w:color w:val="000000" w:themeColor="text1"/>
          <w:u w:val="single"/>
        </w:rPr>
        <w:t xml:space="preserve"> la force majeure</w:t>
      </w:r>
    </w:p>
    <w:p w14:paraId="72372F74" w14:textId="77777777" w:rsidR="00063C50" w:rsidRPr="00063C50" w:rsidRDefault="00063C50" w:rsidP="00063C50">
      <w:pPr>
        <w:jc w:val="both"/>
        <w:rPr>
          <w:u w:val="single"/>
        </w:rPr>
      </w:pPr>
    </w:p>
    <w:p w14:paraId="4A2477E4" w14:textId="77777777" w:rsidR="00C16F29" w:rsidRDefault="00C16F29" w:rsidP="00C16F29">
      <w:pPr>
        <w:jc w:val="both"/>
      </w:pPr>
    </w:p>
    <w:p w14:paraId="74183E51" w14:textId="77777777" w:rsidR="00716C0C" w:rsidRDefault="00716C0C" w:rsidP="00C16F29">
      <w:pPr>
        <w:jc w:val="both"/>
      </w:pPr>
      <w:r>
        <w:t xml:space="preserve">Appréciation </w:t>
      </w:r>
      <w:r w:rsidRPr="00716C0C">
        <w:rPr>
          <w:b/>
        </w:rPr>
        <w:t xml:space="preserve">in </w:t>
      </w:r>
      <w:proofErr w:type="spellStart"/>
      <w:r w:rsidRPr="00716C0C">
        <w:rPr>
          <w:b/>
        </w:rPr>
        <w:t>concreto</w:t>
      </w:r>
      <w:proofErr w:type="spellEnd"/>
      <w:r>
        <w:rPr>
          <w:b/>
        </w:rPr>
        <w:t xml:space="preserve"> </w:t>
      </w:r>
      <w:r>
        <w:t>des conditions</w:t>
      </w:r>
    </w:p>
    <w:p w14:paraId="611B971E" w14:textId="77777777" w:rsidR="00E50E58" w:rsidRDefault="00E50E58" w:rsidP="00C16F29">
      <w:pPr>
        <w:jc w:val="both"/>
      </w:pPr>
    </w:p>
    <w:p w14:paraId="7A81571A" w14:textId="77777777" w:rsidR="00716C0C" w:rsidRDefault="00716C0C" w:rsidP="00C16F29">
      <w:pPr>
        <w:jc w:val="both"/>
      </w:pPr>
      <w:r>
        <w:t>Rappel du moment d’appréciation des conditions</w:t>
      </w:r>
      <w:r w:rsidR="00E50E58">
        <w:t> : lors de la conclusion du contrat</w:t>
      </w:r>
    </w:p>
    <w:p w14:paraId="4EF76E4A" w14:textId="77777777" w:rsidR="00E50E58" w:rsidRDefault="00E50E58" w:rsidP="00C16F29">
      <w:pPr>
        <w:jc w:val="both"/>
      </w:pPr>
    </w:p>
    <w:p w14:paraId="054EF1D1" w14:textId="77777777" w:rsidR="00E50E58" w:rsidRDefault="00E50E58" w:rsidP="00C16F29">
      <w:pPr>
        <w:jc w:val="both"/>
      </w:pPr>
      <w:r>
        <w:t xml:space="preserve">L’appréciation du critère d’extériorité est revisitée. La maladie correspond à une cause d’exonération mais elle n’est pas externe à l’agent. </w:t>
      </w:r>
    </w:p>
    <w:p w14:paraId="409F85BD" w14:textId="77777777" w:rsidR="00E50E58" w:rsidRDefault="00E50E58" w:rsidP="00C16F29">
      <w:pPr>
        <w:jc w:val="both"/>
      </w:pPr>
    </w:p>
    <w:p w14:paraId="42DA80F2" w14:textId="77777777" w:rsidR="00E50E58" w:rsidRDefault="00E50E58" w:rsidP="00C16F29">
      <w:pPr>
        <w:jc w:val="both"/>
      </w:pPr>
      <w:r>
        <w:t xml:space="preserve">Pour illustration : </w:t>
      </w:r>
      <w:r w:rsidR="00063C50">
        <w:t xml:space="preserve">1ère </w:t>
      </w:r>
      <w:proofErr w:type="spellStart"/>
      <w:r w:rsidR="00063C50">
        <w:t>Civ</w:t>
      </w:r>
      <w:proofErr w:type="spellEnd"/>
      <w:r w:rsidR="00063C50">
        <w:t>.</w:t>
      </w:r>
      <w:r>
        <w:t>, 10 février 1998, concernant la maladie d’un élève</w:t>
      </w:r>
      <w:r w:rsidR="00063C50">
        <w:t xml:space="preserve"> justifiant une exonération</w:t>
      </w:r>
      <w:r>
        <w:t>.</w:t>
      </w:r>
    </w:p>
    <w:p w14:paraId="5391A339" w14:textId="77777777" w:rsidR="00E50E58" w:rsidRDefault="00E50E58" w:rsidP="00C16F29">
      <w:pPr>
        <w:jc w:val="both"/>
      </w:pPr>
    </w:p>
    <w:p w14:paraId="152F9D59" w14:textId="77777777" w:rsidR="00E50E58" w:rsidRDefault="00E50E58" w:rsidP="00C16F29">
      <w:pPr>
        <w:jc w:val="both"/>
      </w:pPr>
      <w:r w:rsidRPr="00E50E58">
        <w:t xml:space="preserve"> Mais, en sens contraire de la maladie</w:t>
      </w:r>
      <w:r>
        <w:t xml:space="preserve"> non exonératoire : cf. : </w:t>
      </w:r>
      <w:proofErr w:type="spellStart"/>
      <w:r>
        <w:t>cass</w:t>
      </w:r>
      <w:proofErr w:type="spellEnd"/>
      <w:r>
        <w:t>.</w:t>
      </w:r>
      <w:r w:rsidRPr="00E50E58">
        <w:t xml:space="preserve"> 1ère </w:t>
      </w:r>
      <w:proofErr w:type="spellStart"/>
      <w:r w:rsidRPr="00E50E58">
        <w:t>Civ</w:t>
      </w:r>
      <w:proofErr w:type="spellEnd"/>
      <w:r w:rsidRPr="00E50E58">
        <w:t>., 23 janvier 1968</w:t>
      </w:r>
      <w:r w:rsidR="00063C50">
        <w:t xml:space="preserve"> (arrêt isolé)</w:t>
      </w:r>
    </w:p>
    <w:p w14:paraId="5EB4186D" w14:textId="77777777" w:rsidR="00E50E58" w:rsidRDefault="00E50E58" w:rsidP="00C16F29">
      <w:pPr>
        <w:jc w:val="both"/>
      </w:pPr>
    </w:p>
    <w:p w14:paraId="3E19F72C" w14:textId="77777777" w:rsidR="00E50E58" w:rsidRDefault="00E50E58" w:rsidP="00C16F29">
      <w:pPr>
        <w:jc w:val="both"/>
      </w:pPr>
      <w:r>
        <w:t>L’extériorité ne semble donc plus être une condition  nécessaire de la caractérisation de la force majeure.</w:t>
      </w:r>
    </w:p>
    <w:p w14:paraId="052C2A34" w14:textId="77777777" w:rsidR="00E50E58" w:rsidRDefault="00E50E58" w:rsidP="00C16F29">
      <w:pPr>
        <w:jc w:val="both"/>
      </w:pPr>
    </w:p>
    <w:p w14:paraId="0A5BD0DB" w14:textId="77777777" w:rsidR="00E50E58" w:rsidRDefault="00E50E58" w:rsidP="00C16F29">
      <w:pPr>
        <w:jc w:val="both"/>
      </w:pPr>
      <w:r>
        <w:t>Solution critiquable car la réforme du droit des obligations, à l’article 1218 du Code civil reprend ce critère sous la formule « </w:t>
      </w:r>
      <w:r w:rsidRPr="00E50E58">
        <w:rPr>
          <w:b/>
        </w:rPr>
        <w:t>Il y a force majeure en matière contractuelle lorsqu’un événement échappant au contrôle du débiteur</w:t>
      </w:r>
      <w:r w:rsidRPr="00E50E58">
        <w:t>, qui ne pouvait être raisonnablement prévu lors de la conclusion du contrat et dont les effets ne peuvent être évités par des mesures appropriées, empêche l’exécution de son obligation par le débiteur.</w:t>
      </w:r>
      <w:r>
        <w:t> »</w:t>
      </w:r>
    </w:p>
    <w:p w14:paraId="7F680B5D" w14:textId="77777777" w:rsidR="00E50E58" w:rsidRPr="00716C0C" w:rsidRDefault="00E50E58" w:rsidP="00C16F29">
      <w:pPr>
        <w:jc w:val="both"/>
      </w:pPr>
    </w:p>
    <w:p w14:paraId="5588FCA0" w14:textId="77777777" w:rsidR="00716C0C" w:rsidRDefault="00716C0C" w:rsidP="00C16F29">
      <w:pPr>
        <w:jc w:val="both"/>
      </w:pPr>
    </w:p>
    <w:p w14:paraId="03505A20" w14:textId="77777777" w:rsidR="00063C50" w:rsidRDefault="00063C50" w:rsidP="00C16F29">
      <w:pPr>
        <w:jc w:val="both"/>
      </w:pPr>
    </w:p>
    <w:p w14:paraId="3C9E227E" w14:textId="77777777" w:rsidR="00063C50" w:rsidRDefault="00063C50" w:rsidP="00C16F29">
      <w:pPr>
        <w:jc w:val="both"/>
      </w:pPr>
    </w:p>
    <w:p w14:paraId="199DFD57" w14:textId="77777777" w:rsidR="00063C50" w:rsidRPr="00C16F29" w:rsidRDefault="00063C50" w:rsidP="00C16F29">
      <w:pPr>
        <w:jc w:val="both"/>
      </w:pPr>
    </w:p>
    <w:p w14:paraId="5D0CBA9C" w14:textId="77777777" w:rsidR="00C16F29" w:rsidRPr="00063C50" w:rsidRDefault="00C16F29" w:rsidP="003C42A2">
      <w:pPr>
        <w:pStyle w:val="Paragraphedeliste"/>
        <w:numPr>
          <w:ilvl w:val="0"/>
          <w:numId w:val="4"/>
        </w:numPr>
        <w:jc w:val="both"/>
        <w:rPr>
          <w:u w:val="single"/>
        </w:rPr>
      </w:pPr>
      <w:r w:rsidRPr="00063C50">
        <w:rPr>
          <w:color w:val="000000" w:themeColor="text1"/>
          <w:u w:val="single"/>
        </w:rPr>
        <w:t>L’assimilation controversée du régime de la force majeure et du cas fortuit</w:t>
      </w:r>
    </w:p>
    <w:p w14:paraId="4C5FE1DD" w14:textId="77777777" w:rsidR="003C7BDB" w:rsidRDefault="003C7BDB" w:rsidP="003C7BDB">
      <w:pPr>
        <w:ind w:left="708"/>
        <w:jc w:val="both"/>
      </w:pPr>
    </w:p>
    <w:p w14:paraId="1568CA68" w14:textId="77777777" w:rsidR="003C7BDB" w:rsidRDefault="003C7BDB" w:rsidP="003C7BDB">
      <w:pPr>
        <w:ind w:left="708"/>
        <w:jc w:val="both"/>
      </w:pPr>
    </w:p>
    <w:p w14:paraId="7029B991" w14:textId="77777777" w:rsidR="003C7BDB" w:rsidRDefault="00E50E58" w:rsidP="00E50E58">
      <w:pPr>
        <w:jc w:val="both"/>
        <w:rPr>
          <w:color w:val="000000" w:themeColor="text1"/>
        </w:rPr>
      </w:pPr>
      <w:r w:rsidRPr="00E50E58">
        <w:rPr>
          <w:color w:val="000000" w:themeColor="text1"/>
        </w:rPr>
        <w:t xml:space="preserve">Cette </w:t>
      </w:r>
      <w:r>
        <w:rPr>
          <w:color w:val="000000" w:themeColor="text1"/>
        </w:rPr>
        <w:t>partie est davantage consacrée en une critique générale de l’arrêt.</w:t>
      </w:r>
    </w:p>
    <w:p w14:paraId="0BC0DBF3" w14:textId="77777777" w:rsidR="00063C50" w:rsidRDefault="00063C50" w:rsidP="00E50E58">
      <w:pPr>
        <w:jc w:val="both"/>
        <w:rPr>
          <w:color w:val="000000" w:themeColor="text1"/>
        </w:rPr>
      </w:pPr>
    </w:p>
    <w:p w14:paraId="00C2BEE4" w14:textId="77777777" w:rsidR="00063C50" w:rsidRDefault="00063C50" w:rsidP="00E50E58">
      <w:pPr>
        <w:jc w:val="both"/>
        <w:rPr>
          <w:color w:val="000000" w:themeColor="text1"/>
        </w:rPr>
      </w:pPr>
      <w:r w:rsidRPr="00063C50">
        <w:rPr>
          <w:color w:val="000000" w:themeColor="text1"/>
        </w:rPr>
        <w:t>Les juges affirment que</w:t>
      </w:r>
      <w:r>
        <w:rPr>
          <w:color w:val="5F497A" w:themeColor="accent4" w:themeShade="BF"/>
        </w:rPr>
        <w:t xml:space="preserve"> « </w:t>
      </w:r>
      <w:r w:rsidRPr="003C7BDB">
        <w:rPr>
          <w:color w:val="5F497A" w:themeColor="accent4" w:themeShade="BF"/>
        </w:rPr>
        <w:t xml:space="preserve">la </w:t>
      </w:r>
      <w:r w:rsidRPr="003C7BDB">
        <w:rPr>
          <w:color w:val="5F497A" w:themeColor="accent4" w:themeShade="BF"/>
          <w:u w:val="single"/>
        </w:rPr>
        <w:t>chronologie des faits</w:t>
      </w:r>
      <w:r w:rsidRPr="003C7BDB">
        <w:rPr>
          <w:color w:val="5F497A" w:themeColor="accent4" w:themeShade="BF"/>
        </w:rPr>
        <w:t xml:space="preserve"> ainsi que les </w:t>
      </w:r>
      <w:r w:rsidRPr="003C7BDB">
        <w:rPr>
          <w:color w:val="5F497A" w:themeColor="accent4" w:themeShade="BF"/>
          <w:u w:val="single"/>
        </w:rPr>
        <w:t>attestations relatant la dégradation brutale</w:t>
      </w:r>
      <w:r w:rsidRPr="003C7BDB">
        <w:rPr>
          <w:color w:val="5F497A" w:themeColor="accent4" w:themeShade="BF"/>
        </w:rPr>
        <w:t xml:space="preserve"> de son état de santé </w:t>
      </w:r>
      <w:r w:rsidRPr="003C7BDB">
        <w:rPr>
          <w:color w:val="5F497A" w:themeColor="accent4" w:themeShade="BF"/>
          <w:u w:val="single"/>
        </w:rPr>
        <w:t>faisaient la preuve d'une maladie irrésistible</w:t>
      </w:r>
      <w:r w:rsidRPr="003C7BDB">
        <w:rPr>
          <w:color w:val="5F497A" w:themeColor="accent4" w:themeShade="BF"/>
        </w:rPr>
        <w:t>, la cour d'appel a décidé à bon droit que ces circonstances étaient constitutives d'un cas de force majeure</w:t>
      </w:r>
      <w:r>
        <w:rPr>
          <w:color w:val="5F497A" w:themeColor="accent4" w:themeShade="BF"/>
        </w:rPr>
        <w:t> </w:t>
      </w:r>
    </w:p>
    <w:p w14:paraId="4A21DA7D" w14:textId="77777777" w:rsidR="00063C50" w:rsidRDefault="00063C50" w:rsidP="00E50E58">
      <w:pPr>
        <w:jc w:val="both"/>
        <w:rPr>
          <w:color w:val="000000" w:themeColor="text1"/>
        </w:rPr>
      </w:pPr>
    </w:p>
    <w:p w14:paraId="0FC7C6F4" w14:textId="77777777" w:rsidR="00063C50" w:rsidRDefault="00063C50" w:rsidP="00063C50">
      <w:pPr>
        <w:pStyle w:val="NormalWeb"/>
        <w:shd w:val="clear" w:color="auto" w:fill="FFFFFF"/>
        <w:spacing w:before="0" w:beforeAutospacing="0" w:after="225" w:afterAutospacing="0" w:line="322" w:lineRule="atLeast"/>
        <w:jc w:val="both"/>
        <w:rPr>
          <w:rFonts w:asciiTheme="minorHAnsi" w:hAnsiTheme="minorHAnsi"/>
          <w:color w:val="000000"/>
          <w:sz w:val="24"/>
          <w:szCs w:val="24"/>
        </w:rPr>
      </w:pPr>
      <w:r>
        <w:rPr>
          <w:rFonts w:asciiTheme="minorHAnsi" w:hAnsiTheme="minorHAnsi"/>
          <w:color w:val="000000"/>
          <w:sz w:val="24"/>
          <w:szCs w:val="24"/>
        </w:rPr>
        <w:t>Les juges finalisent leur raisonnement en se focalisant sur le critère d’irrésistibilité.</w:t>
      </w:r>
    </w:p>
    <w:p w14:paraId="7E283FE6" w14:textId="77777777" w:rsidR="00063C50" w:rsidRPr="00063C50" w:rsidRDefault="00063C50" w:rsidP="00063C50">
      <w:pPr>
        <w:pStyle w:val="NormalWeb"/>
        <w:shd w:val="clear" w:color="auto" w:fill="FFFFFF"/>
        <w:spacing w:before="0" w:beforeAutospacing="0" w:after="225" w:afterAutospacing="0" w:line="322" w:lineRule="atLeast"/>
        <w:jc w:val="both"/>
        <w:rPr>
          <w:rFonts w:asciiTheme="minorHAnsi" w:hAnsiTheme="minorHAnsi"/>
          <w:color w:val="000000"/>
          <w:sz w:val="24"/>
          <w:szCs w:val="24"/>
        </w:rPr>
      </w:pPr>
      <w:r>
        <w:rPr>
          <w:rFonts w:asciiTheme="minorHAnsi" w:hAnsiTheme="minorHAnsi"/>
          <w:color w:val="000000"/>
          <w:sz w:val="24"/>
          <w:szCs w:val="24"/>
        </w:rPr>
        <w:t xml:space="preserve">Voici l’avis de l’avocat général de la Cour de cassation M. De Gouttes sur cette condition : «  elle consiste en </w:t>
      </w:r>
      <w:r w:rsidRPr="00063C50">
        <w:rPr>
          <w:rFonts w:asciiTheme="minorHAnsi" w:hAnsiTheme="minorHAnsi"/>
          <w:color w:val="000000"/>
          <w:sz w:val="24"/>
          <w:szCs w:val="24"/>
        </w:rPr>
        <w:t xml:space="preserve"> une appréciation du comportement de l’individu "pendant la réalisation" de l’événement. Il faut que la personne concernée ait été dans l’impossibilité d’agir autrement qu’elle l’a fait. Il faut que l’événement la laisse impuissante</w:t>
      </w:r>
      <w:r w:rsidRPr="00063C50">
        <w:rPr>
          <w:rStyle w:val="apple-converted-space"/>
          <w:rFonts w:asciiTheme="minorHAnsi" w:hAnsiTheme="minorHAnsi"/>
          <w:color w:val="000000"/>
          <w:sz w:val="24"/>
          <w:szCs w:val="24"/>
        </w:rPr>
        <w:t> </w:t>
      </w:r>
      <w:hyperlink r:id="rId9" w:anchor="N_35_" w:history="1">
        <w:r w:rsidRPr="00063C50">
          <w:rPr>
            <w:rStyle w:val="Lienhypertexte"/>
            <w:rFonts w:asciiTheme="minorHAnsi" w:hAnsiTheme="minorHAnsi"/>
            <w:color w:val="000000"/>
            <w:sz w:val="24"/>
            <w:szCs w:val="24"/>
            <w:vertAlign w:val="superscript"/>
          </w:rPr>
          <w:t>(35)</w:t>
        </w:r>
      </w:hyperlink>
      <w:r w:rsidRPr="00063C50">
        <w:rPr>
          <w:rFonts w:asciiTheme="minorHAnsi" w:hAnsiTheme="minorHAnsi"/>
          <w:color w:val="000000"/>
          <w:sz w:val="24"/>
          <w:szCs w:val="24"/>
        </w:rPr>
        <w:t>. La doctrine recourt également, à cet égard, à la notion d’événement "inévitable" ou "insurmontable".</w:t>
      </w:r>
    </w:p>
    <w:p w14:paraId="692862C6" w14:textId="77777777" w:rsidR="00063C50" w:rsidRPr="00063C50" w:rsidRDefault="00063C50" w:rsidP="00063C50">
      <w:pPr>
        <w:pStyle w:val="NormalWeb"/>
        <w:shd w:val="clear" w:color="auto" w:fill="FFFFFF"/>
        <w:spacing w:before="0" w:beforeAutospacing="0" w:after="225" w:afterAutospacing="0" w:line="322" w:lineRule="atLeast"/>
        <w:jc w:val="both"/>
        <w:rPr>
          <w:rFonts w:asciiTheme="minorHAnsi" w:hAnsiTheme="minorHAnsi"/>
          <w:color w:val="000000"/>
          <w:sz w:val="24"/>
          <w:szCs w:val="24"/>
        </w:rPr>
      </w:pPr>
      <w:r w:rsidRPr="00063C50">
        <w:rPr>
          <w:rFonts w:asciiTheme="minorHAnsi" w:hAnsiTheme="minorHAnsi"/>
          <w:color w:val="000000"/>
          <w:sz w:val="24"/>
          <w:szCs w:val="24"/>
        </w:rPr>
        <w:t xml:space="preserve">C’est donc à une appréciation "in </w:t>
      </w:r>
      <w:proofErr w:type="spellStart"/>
      <w:r w:rsidRPr="00063C50">
        <w:rPr>
          <w:rFonts w:asciiTheme="minorHAnsi" w:hAnsiTheme="minorHAnsi"/>
          <w:color w:val="000000"/>
          <w:sz w:val="24"/>
          <w:szCs w:val="24"/>
        </w:rPr>
        <w:t>concreto</w:t>
      </w:r>
      <w:proofErr w:type="spellEnd"/>
      <w:r w:rsidRPr="00063C50">
        <w:rPr>
          <w:rFonts w:asciiTheme="minorHAnsi" w:hAnsiTheme="minorHAnsi"/>
          <w:color w:val="000000"/>
          <w:sz w:val="24"/>
          <w:szCs w:val="24"/>
        </w:rPr>
        <w:t>" de l’irrésistibilité que se livre la jurisprudence, en recherchant si l’événement a engendré ou non pour le sujet une impossibilité d’exécuter l’obligation</w:t>
      </w:r>
      <w:r w:rsidRPr="00063C50">
        <w:rPr>
          <w:rStyle w:val="apple-converted-space"/>
          <w:rFonts w:asciiTheme="minorHAnsi" w:hAnsiTheme="minorHAnsi"/>
          <w:color w:val="000000"/>
          <w:sz w:val="24"/>
          <w:szCs w:val="24"/>
        </w:rPr>
        <w:t> </w:t>
      </w:r>
      <w:r w:rsidRPr="00063C50">
        <w:rPr>
          <w:rFonts w:asciiTheme="minorHAnsi" w:hAnsiTheme="minorHAnsi"/>
          <w:color w:val="000000"/>
          <w:sz w:val="24"/>
          <w:szCs w:val="24"/>
        </w:rPr>
        <w:t>ou d’éviter la réalisation du dommage</w:t>
      </w:r>
      <w:r w:rsidRPr="00063C50">
        <w:rPr>
          <w:rStyle w:val="apple-converted-space"/>
          <w:rFonts w:asciiTheme="minorHAnsi" w:hAnsiTheme="minorHAnsi"/>
          <w:color w:val="000000"/>
          <w:sz w:val="24"/>
          <w:szCs w:val="24"/>
        </w:rPr>
        <w:t> </w:t>
      </w:r>
      <w:hyperlink r:id="rId10" w:anchor="N_38_" w:history="1">
        <w:r w:rsidRPr="00063C50">
          <w:rPr>
            <w:rStyle w:val="Lienhypertexte"/>
            <w:rFonts w:asciiTheme="minorHAnsi" w:hAnsiTheme="minorHAnsi"/>
            <w:color w:val="000000"/>
            <w:sz w:val="24"/>
            <w:szCs w:val="24"/>
            <w:vertAlign w:val="superscript"/>
          </w:rPr>
          <w:t>(38)</w:t>
        </w:r>
      </w:hyperlink>
      <w:r w:rsidRPr="00063C50">
        <w:rPr>
          <w:rStyle w:val="apple-converted-space"/>
          <w:rFonts w:asciiTheme="minorHAnsi" w:hAnsiTheme="minorHAnsi"/>
          <w:color w:val="000000"/>
          <w:sz w:val="24"/>
          <w:szCs w:val="24"/>
        </w:rPr>
        <w:t> </w:t>
      </w:r>
      <w:r w:rsidRPr="00063C50">
        <w:rPr>
          <w:rFonts w:asciiTheme="minorHAnsi" w:hAnsiTheme="minorHAnsi"/>
          <w:color w:val="000000"/>
          <w:sz w:val="24"/>
          <w:szCs w:val="24"/>
        </w:rPr>
        <w:t>et en vérifiant si un individu moyen, placé dans les mêmes circonstances, aurait pu résister et surmonter l’obstacle.</w:t>
      </w:r>
    </w:p>
    <w:p w14:paraId="4D622876" w14:textId="77777777" w:rsidR="00063C50" w:rsidRDefault="00063C50" w:rsidP="00063C50">
      <w:pPr>
        <w:pStyle w:val="NormalWeb"/>
        <w:shd w:val="clear" w:color="auto" w:fill="FFFFFF"/>
        <w:spacing w:before="0" w:beforeAutospacing="0" w:after="225" w:afterAutospacing="0" w:line="322" w:lineRule="atLeast"/>
        <w:jc w:val="both"/>
        <w:rPr>
          <w:rFonts w:asciiTheme="minorHAnsi" w:hAnsiTheme="minorHAnsi"/>
          <w:color w:val="000000"/>
          <w:sz w:val="24"/>
          <w:szCs w:val="24"/>
        </w:rPr>
      </w:pPr>
      <w:r w:rsidRPr="00063C50">
        <w:rPr>
          <w:rFonts w:asciiTheme="minorHAnsi" w:hAnsiTheme="minorHAnsi"/>
          <w:color w:val="000000"/>
          <w:sz w:val="24"/>
          <w:szCs w:val="24"/>
        </w:rPr>
        <w:t xml:space="preserve">L’évolution récente de la jurisprudence tend d’ailleurs à faire de l’événement "irrésistible" le critère sinon unique, du moins central de la force majeure. Tel est le cas notamment de la première chambre civile, mais aussi de la chambre commerciale de la Cour de </w:t>
      </w:r>
      <w:proofErr w:type="gramStart"/>
      <w:r w:rsidRPr="00063C50">
        <w:rPr>
          <w:rFonts w:asciiTheme="minorHAnsi" w:hAnsiTheme="minorHAnsi"/>
          <w:color w:val="000000"/>
          <w:sz w:val="24"/>
          <w:szCs w:val="24"/>
        </w:rPr>
        <w:t>cassation ,</w:t>
      </w:r>
      <w:proofErr w:type="gramEnd"/>
      <w:r w:rsidRPr="00063C50">
        <w:rPr>
          <w:rFonts w:asciiTheme="minorHAnsi" w:hAnsiTheme="minorHAnsi"/>
          <w:color w:val="000000"/>
          <w:sz w:val="24"/>
          <w:szCs w:val="24"/>
        </w:rPr>
        <w:t xml:space="preserve"> pour lesquelles "l’irrésistibilité de l’événement est, à elle seule, constitutive de la force majeure, lorsque sa prévision ne saurait permettre d’en empêcher les effets". Il se peut en effet qu’un événement soit irrésistible bien que l’événement ait été normalement prévisible, lorsque sa réalisation ou ses effets sont inévitables en dépit des précautions nécessaires qui ont été prises</w:t>
      </w:r>
      <w:r>
        <w:rPr>
          <w:rFonts w:asciiTheme="minorHAnsi" w:hAnsiTheme="minorHAnsi"/>
          <w:color w:val="000000"/>
          <w:sz w:val="24"/>
          <w:szCs w:val="24"/>
        </w:rPr>
        <w:t> »</w:t>
      </w:r>
    </w:p>
    <w:p w14:paraId="49B70B3C" w14:textId="77777777" w:rsidR="00063C50" w:rsidRPr="00063C50" w:rsidRDefault="00063C50" w:rsidP="00063C50">
      <w:pPr>
        <w:pStyle w:val="NormalWeb"/>
        <w:shd w:val="clear" w:color="auto" w:fill="FFFFFF"/>
        <w:spacing w:before="0" w:beforeAutospacing="0" w:after="225" w:afterAutospacing="0" w:line="322" w:lineRule="atLeast"/>
        <w:jc w:val="both"/>
        <w:rPr>
          <w:rFonts w:asciiTheme="minorHAnsi" w:hAnsiTheme="minorHAnsi"/>
          <w:color w:val="000000"/>
          <w:sz w:val="24"/>
          <w:szCs w:val="24"/>
        </w:rPr>
      </w:pPr>
      <w:r>
        <w:rPr>
          <w:rFonts w:asciiTheme="minorHAnsi" w:hAnsiTheme="minorHAnsi"/>
          <w:color w:val="000000"/>
          <w:sz w:val="24"/>
          <w:szCs w:val="24"/>
        </w:rPr>
        <w:t>On observe une focalisation contraire à la loi des juges sur la condition d’irrésistibilité. Focalisation n’ayant pourtant pas fait l’objet de la codification issue de la réforme qui supprime la référence au cas fortuit mais qui pour autant continue de consacrer le critère d’extériorité.</w:t>
      </w:r>
    </w:p>
    <w:p w14:paraId="0E36EADF" w14:textId="77777777" w:rsidR="00063C50" w:rsidRPr="00E50E58" w:rsidRDefault="00063C50" w:rsidP="00E50E58">
      <w:pPr>
        <w:jc w:val="both"/>
        <w:rPr>
          <w:color w:val="000000" w:themeColor="text1"/>
        </w:rPr>
      </w:pPr>
    </w:p>
    <w:sectPr w:rsidR="00063C50" w:rsidRPr="00E50E58" w:rsidSect="00883AF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B58AF" w14:textId="77777777" w:rsidR="00E50E58" w:rsidRDefault="00E50E58" w:rsidP="00CD3B85">
      <w:r>
        <w:separator/>
      </w:r>
    </w:p>
  </w:endnote>
  <w:endnote w:type="continuationSeparator" w:id="0">
    <w:p w14:paraId="6AE2222A" w14:textId="77777777" w:rsidR="00E50E58" w:rsidRDefault="00E50E58" w:rsidP="00CD3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D19F7" w14:textId="77777777" w:rsidR="00E50E58" w:rsidRDefault="00E50E58" w:rsidP="00CD3B85">
      <w:r>
        <w:separator/>
      </w:r>
    </w:p>
  </w:footnote>
  <w:footnote w:type="continuationSeparator" w:id="0">
    <w:p w14:paraId="7BC45B9A" w14:textId="77777777" w:rsidR="00E50E58" w:rsidRDefault="00E50E58" w:rsidP="00CD3B85">
      <w:r>
        <w:continuationSeparator/>
      </w:r>
    </w:p>
  </w:footnote>
  <w:footnote w:id="1">
    <w:p w14:paraId="68AA1F16" w14:textId="77777777" w:rsidR="00E50E58" w:rsidRPr="00E50E58" w:rsidRDefault="00E50E58" w:rsidP="00E50E58">
      <w:pPr>
        <w:pStyle w:val="NormalWeb"/>
        <w:shd w:val="clear" w:color="auto" w:fill="FFFFFF"/>
        <w:spacing w:before="0" w:beforeAutospacing="0" w:after="225" w:afterAutospacing="0" w:line="322" w:lineRule="atLeast"/>
        <w:jc w:val="both"/>
        <w:rPr>
          <w:rFonts w:asciiTheme="minorHAnsi" w:hAnsiTheme="minorHAnsi"/>
          <w:color w:val="000000"/>
        </w:rPr>
      </w:pPr>
      <w:r w:rsidRPr="00E50E58">
        <w:rPr>
          <w:rStyle w:val="Marquenotebasdepage"/>
          <w:rFonts w:asciiTheme="minorHAnsi" w:hAnsiTheme="minorHAnsi"/>
        </w:rPr>
        <w:footnoteRef/>
      </w:r>
      <w:r w:rsidRPr="00E50E58">
        <w:rPr>
          <w:rFonts w:asciiTheme="minorHAnsi" w:hAnsiTheme="minorHAnsi"/>
        </w:rPr>
        <w:t xml:space="preserve"> </w:t>
      </w:r>
      <w:r w:rsidRPr="00E50E58">
        <w:rPr>
          <w:rFonts w:asciiTheme="minorHAnsi" w:hAnsiTheme="minorHAnsi"/>
          <w:color w:val="000000" w:themeColor="text1"/>
        </w:rPr>
        <w:t xml:space="preserve">Voir en ce sens </w:t>
      </w:r>
      <w:proofErr w:type="spellStart"/>
      <w:r w:rsidRPr="00E50E58">
        <w:rPr>
          <w:rFonts w:asciiTheme="minorHAnsi" w:hAnsiTheme="minorHAnsi"/>
          <w:color w:val="000000" w:themeColor="text1"/>
        </w:rPr>
        <w:t>cass</w:t>
      </w:r>
      <w:proofErr w:type="spellEnd"/>
      <w:r w:rsidRPr="00E50E58">
        <w:rPr>
          <w:rFonts w:asciiTheme="minorHAnsi" w:hAnsiTheme="minorHAnsi"/>
          <w:color w:val="000000" w:themeColor="text1"/>
        </w:rPr>
        <w:t>., 2</w:t>
      </w:r>
      <w:r w:rsidRPr="00E50E58">
        <w:rPr>
          <w:rFonts w:asciiTheme="minorHAnsi" w:hAnsiTheme="minorHAnsi"/>
          <w:color w:val="000000" w:themeColor="text1"/>
          <w:vertAlign w:val="superscript"/>
        </w:rPr>
        <w:t>ème</w:t>
      </w:r>
      <w:r w:rsidRPr="00E50E58">
        <w:rPr>
          <w:rStyle w:val="apple-converted-space"/>
          <w:rFonts w:asciiTheme="minorHAnsi" w:hAnsiTheme="minorHAnsi"/>
          <w:color w:val="000000" w:themeColor="text1"/>
        </w:rPr>
        <w:t> </w:t>
      </w:r>
      <w:proofErr w:type="spellStart"/>
      <w:r w:rsidRPr="00E50E58">
        <w:rPr>
          <w:rFonts w:asciiTheme="minorHAnsi" w:hAnsiTheme="minorHAnsi"/>
          <w:color w:val="000000" w:themeColor="text1"/>
        </w:rPr>
        <w:t>Civ</w:t>
      </w:r>
      <w:proofErr w:type="spellEnd"/>
      <w:r w:rsidRPr="00E50E58">
        <w:rPr>
          <w:rFonts w:asciiTheme="minorHAnsi" w:hAnsiTheme="minorHAnsi"/>
          <w:color w:val="000000" w:themeColor="text1"/>
        </w:rPr>
        <w:t>., 21 janvier 1981, JCP 1982 - II- 19814 ; 6 janvier 1982,</w:t>
      </w:r>
      <w:r w:rsidRPr="00E50E58">
        <w:rPr>
          <w:rStyle w:val="apple-converted-space"/>
          <w:rFonts w:asciiTheme="minorHAnsi" w:hAnsiTheme="minorHAnsi"/>
          <w:color w:val="000000" w:themeColor="text1"/>
        </w:rPr>
        <w:t> </w:t>
      </w:r>
      <w:r w:rsidRPr="00E50E58">
        <w:rPr>
          <w:rStyle w:val="Accentuation"/>
          <w:rFonts w:asciiTheme="minorHAnsi" w:hAnsiTheme="minorHAnsi"/>
          <w:color w:val="000000" w:themeColor="text1"/>
        </w:rPr>
        <w:t>Bull.,</w:t>
      </w:r>
      <w:r w:rsidRPr="00E50E58">
        <w:rPr>
          <w:rStyle w:val="apple-converted-space"/>
          <w:rFonts w:asciiTheme="minorHAnsi" w:hAnsiTheme="minorHAnsi"/>
          <w:color w:val="000000" w:themeColor="text1"/>
        </w:rPr>
        <w:t> </w:t>
      </w:r>
      <w:r w:rsidRPr="00E50E58">
        <w:rPr>
          <w:rFonts w:asciiTheme="minorHAnsi" w:hAnsiTheme="minorHAnsi"/>
          <w:color w:val="000000" w:themeColor="text1"/>
        </w:rPr>
        <w:t xml:space="preserve">n° 3 ; </w:t>
      </w:r>
      <w:proofErr w:type="spellStart"/>
      <w:r w:rsidRPr="00E50E58">
        <w:rPr>
          <w:rFonts w:asciiTheme="minorHAnsi" w:hAnsiTheme="minorHAnsi"/>
          <w:color w:val="000000" w:themeColor="text1"/>
        </w:rPr>
        <w:t>cass</w:t>
      </w:r>
      <w:proofErr w:type="spellEnd"/>
      <w:r w:rsidRPr="00E50E58">
        <w:rPr>
          <w:rFonts w:asciiTheme="minorHAnsi" w:hAnsiTheme="minorHAnsi"/>
          <w:color w:val="000000" w:themeColor="text1"/>
        </w:rPr>
        <w:t>., 1</w:t>
      </w:r>
      <w:r w:rsidRPr="00E50E58">
        <w:rPr>
          <w:rFonts w:asciiTheme="minorHAnsi" w:hAnsiTheme="minorHAnsi"/>
          <w:color w:val="000000" w:themeColor="text1"/>
          <w:vertAlign w:val="superscript"/>
        </w:rPr>
        <w:t>ère</w:t>
      </w:r>
      <w:r w:rsidRPr="00E50E58">
        <w:rPr>
          <w:rStyle w:val="apple-converted-space"/>
          <w:rFonts w:asciiTheme="minorHAnsi" w:hAnsiTheme="minorHAnsi"/>
          <w:color w:val="000000" w:themeColor="text1"/>
        </w:rPr>
        <w:t> </w:t>
      </w:r>
      <w:proofErr w:type="spellStart"/>
      <w:r w:rsidRPr="00E50E58">
        <w:rPr>
          <w:rFonts w:asciiTheme="minorHAnsi" w:hAnsiTheme="minorHAnsi"/>
          <w:color w:val="000000" w:themeColor="text1"/>
        </w:rPr>
        <w:t>Civ</w:t>
      </w:r>
      <w:proofErr w:type="spellEnd"/>
      <w:r w:rsidRPr="00E50E58">
        <w:rPr>
          <w:rFonts w:asciiTheme="minorHAnsi" w:hAnsiTheme="minorHAnsi"/>
          <w:color w:val="000000" w:themeColor="text1"/>
        </w:rPr>
        <w:t xml:space="preserve">., 7 juillet 1998, </w:t>
      </w:r>
      <w:proofErr w:type="spellStart"/>
      <w:r w:rsidRPr="00E50E58">
        <w:rPr>
          <w:rFonts w:asciiTheme="minorHAnsi" w:hAnsiTheme="minorHAnsi"/>
          <w:color w:val="000000" w:themeColor="text1"/>
        </w:rPr>
        <w:t>Defresnois</w:t>
      </w:r>
      <w:proofErr w:type="spellEnd"/>
      <w:r w:rsidRPr="00E50E58">
        <w:rPr>
          <w:rFonts w:asciiTheme="minorHAnsi" w:hAnsiTheme="minorHAnsi"/>
          <w:color w:val="000000" w:themeColor="text1"/>
        </w:rPr>
        <w:t xml:space="preserve"> 1999.544 ; </w:t>
      </w:r>
      <w:proofErr w:type="spellStart"/>
      <w:r w:rsidRPr="00E50E58">
        <w:rPr>
          <w:rFonts w:asciiTheme="minorHAnsi" w:hAnsiTheme="minorHAnsi"/>
          <w:color w:val="000000" w:themeColor="text1"/>
        </w:rPr>
        <w:t>cass</w:t>
      </w:r>
      <w:proofErr w:type="spellEnd"/>
      <w:r w:rsidRPr="00E50E58">
        <w:rPr>
          <w:rFonts w:asciiTheme="minorHAnsi" w:hAnsiTheme="minorHAnsi"/>
          <w:color w:val="000000" w:themeColor="text1"/>
        </w:rPr>
        <w:t>., 3</w:t>
      </w:r>
      <w:r w:rsidRPr="00E50E58">
        <w:rPr>
          <w:rFonts w:asciiTheme="minorHAnsi" w:hAnsiTheme="minorHAnsi"/>
          <w:color w:val="000000" w:themeColor="text1"/>
          <w:vertAlign w:val="superscript"/>
        </w:rPr>
        <w:t>ème</w:t>
      </w:r>
      <w:r w:rsidRPr="00E50E58">
        <w:rPr>
          <w:rStyle w:val="apple-converted-space"/>
          <w:rFonts w:asciiTheme="minorHAnsi" w:hAnsiTheme="minorHAnsi"/>
          <w:color w:val="000000" w:themeColor="text1"/>
        </w:rPr>
        <w:t> </w:t>
      </w:r>
      <w:proofErr w:type="spellStart"/>
      <w:r w:rsidRPr="00E50E58">
        <w:rPr>
          <w:rFonts w:asciiTheme="minorHAnsi" w:hAnsiTheme="minorHAnsi"/>
          <w:color w:val="000000" w:themeColor="text1"/>
        </w:rPr>
        <w:t>Civ</w:t>
      </w:r>
      <w:proofErr w:type="spellEnd"/>
      <w:r w:rsidRPr="00E50E58">
        <w:rPr>
          <w:rFonts w:asciiTheme="minorHAnsi" w:hAnsiTheme="minorHAnsi"/>
          <w:color w:val="000000" w:themeColor="text1"/>
        </w:rPr>
        <w:t>., 11 mai 1994 ,</w:t>
      </w:r>
      <w:r w:rsidRPr="00E50E58">
        <w:rPr>
          <w:rStyle w:val="apple-converted-space"/>
          <w:rFonts w:asciiTheme="minorHAnsi" w:hAnsiTheme="minorHAnsi"/>
          <w:color w:val="000000" w:themeColor="text1"/>
        </w:rPr>
        <w:t> </w:t>
      </w:r>
      <w:r w:rsidRPr="00E50E58">
        <w:rPr>
          <w:rStyle w:val="Accentuation"/>
          <w:rFonts w:asciiTheme="minorHAnsi" w:hAnsiTheme="minorHAnsi"/>
          <w:color w:val="000000" w:themeColor="text1"/>
        </w:rPr>
        <w:t>Bull.,</w:t>
      </w:r>
      <w:r w:rsidRPr="00E50E58">
        <w:rPr>
          <w:rStyle w:val="apple-converted-space"/>
          <w:rFonts w:asciiTheme="minorHAnsi" w:hAnsiTheme="minorHAnsi"/>
          <w:color w:val="000000" w:themeColor="text1"/>
        </w:rPr>
        <w:t> </w:t>
      </w:r>
      <w:r w:rsidRPr="00E50E58">
        <w:rPr>
          <w:rFonts w:asciiTheme="minorHAnsi" w:hAnsiTheme="minorHAnsi"/>
          <w:color w:val="000000" w:themeColor="text1"/>
        </w:rPr>
        <w:t>n° 94 ; 7 juin 1989,</w:t>
      </w:r>
      <w:r w:rsidRPr="00E50E58">
        <w:rPr>
          <w:rStyle w:val="apple-converted-space"/>
          <w:rFonts w:asciiTheme="minorHAnsi" w:hAnsiTheme="minorHAnsi"/>
          <w:color w:val="000000" w:themeColor="text1"/>
        </w:rPr>
        <w:t> </w:t>
      </w:r>
      <w:r w:rsidRPr="00E50E58">
        <w:rPr>
          <w:rStyle w:val="Accentuation"/>
          <w:rFonts w:asciiTheme="minorHAnsi" w:hAnsiTheme="minorHAnsi"/>
          <w:color w:val="000000" w:themeColor="text1"/>
        </w:rPr>
        <w:t>Bull.,</w:t>
      </w:r>
      <w:r w:rsidRPr="00E50E58">
        <w:rPr>
          <w:rStyle w:val="apple-converted-space"/>
          <w:rFonts w:asciiTheme="minorHAnsi" w:hAnsiTheme="minorHAnsi"/>
          <w:color w:val="000000" w:themeColor="text1"/>
        </w:rPr>
        <w:t> </w:t>
      </w:r>
      <w:r w:rsidRPr="00E50E58">
        <w:rPr>
          <w:rFonts w:asciiTheme="minorHAnsi" w:hAnsiTheme="minorHAnsi"/>
          <w:color w:val="000000" w:themeColor="text1"/>
        </w:rPr>
        <w:t xml:space="preserve">n° 128. Et Cf. : </w:t>
      </w:r>
      <w:proofErr w:type="spellStart"/>
      <w:proofErr w:type="gramStart"/>
      <w:r w:rsidRPr="00E50E58">
        <w:rPr>
          <w:rFonts w:asciiTheme="minorHAnsi" w:hAnsiTheme="minorHAnsi"/>
          <w:color w:val="000000" w:themeColor="text1"/>
        </w:rPr>
        <w:t>cass</w:t>
      </w:r>
      <w:proofErr w:type="spellEnd"/>
      <w:r w:rsidRPr="00E50E58">
        <w:rPr>
          <w:rFonts w:asciiTheme="minorHAnsi" w:hAnsiTheme="minorHAnsi"/>
          <w:color w:val="000000" w:themeColor="text1"/>
        </w:rPr>
        <w:t>.,</w:t>
      </w:r>
      <w:proofErr w:type="gramEnd"/>
      <w:r w:rsidRPr="00E50E58">
        <w:rPr>
          <w:rFonts w:asciiTheme="minorHAnsi" w:hAnsiTheme="minorHAnsi"/>
          <w:color w:val="000000" w:themeColor="text1"/>
        </w:rPr>
        <w:t xml:space="preserve"> Com., 16 mars 1999, Contrats </w:t>
      </w:r>
      <w:proofErr w:type="spellStart"/>
      <w:r w:rsidRPr="00E50E58">
        <w:rPr>
          <w:rFonts w:asciiTheme="minorHAnsi" w:hAnsiTheme="minorHAnsi"/>
          <w:color w:val="000000" w:themeColor="text1"/>
        </w:rPr>
        <w:t>conc</w:t>
      </w:r>
      <w:proofErr w:type="spellEnd"/>
      <w:r w:rsidRPr="00E50E58">
        <w:rPr>
          <w:rFonts w:asciiTheme="minorHAnsi" w:hAnsiTheme="minorHAnsi"/>
          <w:color w:val="000000" w:themeColor="text1"/>
        </w:rPr>
        <w:t xml:space="preserve">. </w:t>
      </w:r>
      <w:proofErr w:type="spellStart"/>
      <w:proofErr w:type="gramStart"/>
      <w:r w:rsidRPr="00E50E58">
        <w:rPr>
          <w:rFonts w:asciiTheme="minorHAnsi" w:hAnsiTheme="minorHAnsi"/>
          <w:color w:val="000000" w:themeColor="text1"/>
        </w:rPr>
        <w:t>consom</w:t>
      </w:r>
      <w:proofErr w:type="spellEnd"/>
      <w:proofErr w:type="gramEnd"/>
      <w:r w:rsidRPr="00E50E58">
        <w:rPr>
          <w:rFonts w:asciiTheme="minorHAnsi" w:hAnsiTheme="minorHAnsi"/>
          <w:color w:val="000000" w:themeColor="text1"/>
        </w:rPr>
        <w:t xml:space="preserve">. 1999 n° 86 ; </w:t>
      </w:r>
      <w:proofErr w:type="spellStart"/>
      <w:proofErr w:type="gramStart"/>
      <w:r w:rsidRPr="00E50E58">
        <w:rPr>
          <w:rFonts w:asciiTheme="minorHAnsi" w:hAnsiTheme="minorHAnsi"/>
          <w:color w:val="000000" w:themeColor="text1"/>
        </w:rPr>
        <w:t>cass</w:t>
      </w:r>
      <w:proofErr w:type="spellEnd"/>
      <w:r w:rsidRPr="00E50E58">
        <w:rPr>
          <w:rFonts w:asciiTheme="minorHAnsi" w:hAnsiTheme="minorHAnsi"/>
          <w:color w:val="000000" w:themeColor="text1"/>
        </w:rPr>
        <w:t>.,</w:t>
      </w:r>
      <w:proofErr w:type="gramEnd"/>
      <w:r w:rsidRPr="00E50E58">
        <w:rPr>
          <w:rFonts w:asciiTheme="minorHAnsi" w:hAnsiTheme="minorHAnsi"/>
          <w:color w:val="000000" w:themeColor="text1"/>
        </w:rPr>
        <w:t xml:space="preserve"> </w:t>
      </w:r>
      <w:proofErr w:type="spellStart"/>
      <w:r w:rsidRPr="00E50E58">
        <w:rPr>
          <w:rFonts w:asciiTheme="minorHAnsi" w:hAnsiTheme="minorHAnsi"/>
          <w:color w:val="000000" w:themeColor="text1"/>
        </w:rPr>
        <w:t>requ</w:t>
      </w:r>
      <w:proofErr w:type="spellEnd"/>
      <w:r w:rsidRPr="00E50E58">
        <w:rPr>
          <w:rFonts w:asciiTheme="minorHAnsi" w:hAnsiTheme="minorHAnsi"/>
          <w:color w:val="000000" w:themeColor="text1"/>
        </w:rPr>
        <w:t>., 25 janvier 1922 - DP 1922-1-71</w:t>
      </w:r>
    </w:p>
    <w:p w14:paraId="61777A0E" w14:textId="77777777" w:rsidR="00E50E58" w:rsidRDefault="00E50E58">
      <w:pPr>
        <w:pStyle w:val="Notedebasdepage"/>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72AB8"/>
    <w:multiLevelType w:val="hybridMultilevel"/>
    <w:tmpl w:val="034CE8B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677444C"/>
    <w:multiLevelType w:val="hybridMultilevel"/>
    <w:tmpl w:val="A5F0896A"/>
    <w:lvl w:ilvl="0" w:tplc="54DE2FC2">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46352282"/>
    <w:multiLevelType w:val="hybridMultilevel"/>
    <w:tmpl w:val="371A2818"/>
    <w:lvl w:ilvl="0" w:tplc="C7021168">
      <w:start w:val="1"/>
      <w:numFmt w:val="upperLetter"/>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
    <w:nsid w:val="6D440838"/>
    <w:multiLevelType w:val="hybridMultilevel"/>
    <w:tmpl w:val="E21030D4"/>
    <w:lvl w:ilvl="0" w:tplc="418A9BA0">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912"/>
    <w:rsid w:val="00063C50"/>
    <w:rsid w:val="00191B18"/>
    <w:rsid w:val="00336912"/>
    <w:rsid w:val="003C0B77"/>
    <w:rsid w:val="003C42A2"/>
    <w:rsid w:val="003C7BDB"/>
    <w:rsid w:val="003D6747"/>
    <w:rsid w:val="004367BA"/>
    <w:rsid w:val="00552DDD"/>
    <w:rsid w:val="0058471D"/>
    <w:rsid w:val="006D4220"/>
    <w:rsid w:val="006E6A06"/>
    <w:rsid w:val="00716C0C"/>
    <w:rsid w:val="00883AFC"/>
    <w:rsid w:val="009A4399"/>
    <w:rsid w:val="00C16F29"/>
    <w:rsid w:val="00CD3B85"/>
    <w:rsid w:val="00D4445C"/>
    <w:rsid w:val="00E20603"/>
    <w:rsid w:val="00E50E5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C3C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6912"/>
    <w:pPr>
      <w:ind w:left="720"/>
      <w:contextualSpacing/>
    </w:pPr>
  </w:style>
  <w:style w:type="paragraph" w:customStyle="1" w:styleId="Style1">
    <w:name w:val="Style1"/>
    <w:basedOn w:val="Normal"/>
    <w:qFormat/>
    <w:rsid w:val="00C16F29"/>
    <w:pPr>
      <w:pBdr>
        <w:top w:val="single" w:sz="4" w:space="1" w:color="auto"/>
        <w:left w:val="single" w:sz="4" w:space="4" w:color="auto"/>
        <w:bottom w:val="single" w:sz="4" w:space="1" w:color="auto"/>
        <w:right w:val="single" w:sz="4" w:space="4" w:color="auto"/>
      </w:pBdr>
      <w:jc w:val="center"/>
    </w:pPr>
    <w:rPr>
      <w:rFonts w:ascii="Garamond" w:eastAsia="Times New Roman" w:hAnsi="Garamond"/>
      <w:b/>
      <w:sz w:val="28"/>
      <w:lang w:eastAsia="en-US"/>
    </w:rPr>
  </w:style>
  <w:style w:type="paragraph" w:styleId="En-tte">
    <w:name w:val="header"/>
    <w:basedOn w:val="Normal"/>
    <w:link w:val="En-tteCar"/>
    <w:uiPriority w:val="99"/>
    <w:unhideWhenUsed/>
    <w:rsid w:val="00CD3B85"/>
    <w:pPr>
      <w:tabs>
        <w:tab w:val="center" w:pos="4536"/>
        <w:tab w:val="right" w:pos="9072"/>
      </w:tabs>
    </w:pPr>
  </w:style>
  <w:style w:type="character" w:customStyle="1" w:styleId="En-tteCar">
    <w:name w:val="En-tête Car"/>
    <w:basedOn w:val="Policepardfaut"/>
    <w:link w:val="En-tte"/>
    <w:uiPriority w:val="99"/>
    <w:rsid w:val="00CD3B85"/>
  </w:style>
  <w:style w:type="paragraph" w:styleId="Pieddepage">
    <w:name w:val="footer"/>
    <w:basedOn w:val="Normal"/>
    <w:link w:val="PieddepageCar"/>
    <w:uiPriority w:val="99"/>
    <w:unhideWhenUsed/>
    <w:rsid w:val="00CD3B85"/>
    <w:pPr>
      <w:tabs>
        <w:tab w:val="center" w:pos="4536"/>
        <w:tab w:val="right" w:pos="9072"/>
      </w:tabs>
    </w:pPr>
  </w:style>
  <w:style w:type="character" w:customStyle="1" w:styleId="PieddepageCar">
    <w:name w:val="Pied de page Car"/>
    <w:basedOn w:val="Policepardfaut"/>
    <w:link w:val="Pieddepage"/>
    <w:uiPriority w:val="99"/>
    <w:rsid w:val="00CD3B85"/>
  </w:style>
  <w:style w:type="paragraph" w:styleId="NormalWeb">
    <w:name w:val="Normal (Web)"/>
    <w:basedOn w:val="Normal"/>
    <w:uiPriority w:val="99"/>
    <w:unhideWhenUsed/>
    <w:rsid w:val="004367BA"/>
    <w:pPr>
      <w:spacing w:before="100" w:beforeAutospacing="1" w:after="100" w:afterAutospacing="1"/>
    </w:pPr>
    <w:rPr>
      <w:rFonts w:ascii="Times" w:hAnsi="Times" w:cs="Times New Roman"/>
      <w:sz w:val="20"/>
      <w:szCs w:val="20"/>
    </w:rPr>
  </w:style>
  <w:style w:type="character" w:styleId="Accentuation">
    <w:name w:val="Emphasis"/>
    <w:basedOn w:val="Policepardfaut"/>
    <w:uiPriority w:val="20"/>
    <w:qFormat/>
    <w:rsid w:val="004367BA"/>
    <w:rPr>
      <w:i/>
      <w:iCs/>
    </w:rPr>
  </w:style>
  <w:style w:type="character" w:styleId="lev">
    <w:name w:val="Strong"/>
    <w:basedOn w:val="Policepardfaut"/>
    <w:uiPriority w:val="22"/>
    <w:qFormat/>
    <w:rsid w:val="004367BA"/>
    <w:rPr>
      <w:b/>
      <w:bCs/>
    </w:rPr>
  </w:style>
  <w:style w:type="paragraph" w:styleId="Notedebasdepage">
    <w:name w:val="footnote text"/>
    <w:basedOn w:val="Normal"/>
    <w:link w:val="NotedebasdepageCar"/>
    <w:uiPriority w:val="99"/>
    <w:unhideWhenUsed/>
    <w:rsid w:val="00E50E58"/>
  </w:style>
  <w:style w:type="character" w:customStyle="1" w:styleId="NotedebasdepageCar">
    <w:name w:val="Note de bas de page Car"/>
    <w:basedOn w:val="Policepardfaut"/>
    <w:link w:val="Notedebasdepage"/>
    <w:uiPriority w:val="99"/>
    <w:rsid w:val="00E50E58"/>
  </w:style>
  <w:style w:type="character" w:styleId="Marquenotebasdepage">
    <w:name w:val="footnote reference"/>
    <w:basedOn w:val="Policepardfaut"/>
    <w:uiPriority w:val="99"/>
    <w:unhideWhenUsed/>
    <w:rsid w:val="00E50E58"/>
    <w:rPr>
      <w:vertAlign w:val="superscript"/>
    </w:rPr>
  </w:style>
  <w:style w:type="character" w:customStyle="1" w:styleId="apple-converted-space">
    <w:name w:val="apple-converted-space"/>
    <w:basedOn w:val="Policepardfaut"/>
    <w:rsid w:val="00E50E58"/>
  </w:style>
  <w:style w:type="character" w:styleId="Lienhypertexte">
    <w:name w:val="Hyperlink"/>
    <w:basedOn w:val="Policepardfaut"/>
    <w:uiPriority w:val="99"/>
    <w:semiHidden/>
    <w:unhideWhenUsed/>
    <w:rsid w:val="00063C50"/>
    <w:rPr>
      <w:color w:val="0000FF"/>
      <w:u w:val="single"/>
    </w:rPr>
  </w:style>
  <w:style w:type="character" w:styleId="Lienhypertextesuivi">
    <w:name w:val="FollowedHyperlink"/>
    <w:basedOn w:val="Policepardfaut"/>
    <w:uiPriority w:val="99"/>
    <w:semiHidden/>
    <w:unhideWhenUsed/>
    <w:rsid w:val="00063C5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6912"/>
    <w:pPr>
      <w:ind w:left="720"/>
      <w:contextualSpacing/>
    </w:pPr>
  </w:style>
  <w:style w:type="paragraph" w:customStyle="1" w:styleId="Style1">
    <w:name w:val="Style1"/>
    <w:basedOn w:val="Normal"/>
    <w:qFormat/>
    <w:rsid w:val="00C16F29"/>
    <w:pPr>
      <w:pBdr>
        <w:top w:val="single" w:sz="4" w:space="1" w:color="auto"/>
        <w:left w:val="single" w:sz="4" w:space="4" w:color="auto"/>
        <w:bottom w:val="single" w:sz="4" w:space="1" w:color="auto"/>
        <w:right w:val="single" w:sz="4" w:space="4" w:color="auto"/>
      </w:pBdr>
      <w:jc w:val="center"/>
    </w:pPr>
    <w:rPr>
      <w:rFonts w:ascii="Garamond" w:eastAsia="Times New Roman" w:hAnsi="Garamond"/>
      <w:b/>
      <w:sz w:val="28"/>
      <w:lang w:eastAsia="en-US"/>
    </w:rPr>
  </w:style>
  <w:style w:type="paragraph" w:styleId="En-tte">
    <w:name w:val="header"/>
    <w:basedOn w:val="Normal"/>
    <w:link w:val="En-tteCar"/>
    <w:uiPriority w:val="99"/>
    <w:unhideWhenUsed/>
    <w:rsid w:val="00CD3B85"/>
    <w:pPr>
      <w:tabs>
        <w:tab w:val="center" w:pos="4536"/>
        <w:tab w:val="right" w:pos="9072"/>
      </w:tabs>
    </w:pPr>
  </w:style>
  <w:style w:type="character" w:customStyle="1" w:styleId="En-tteCar">
    <w:name w:val="En-tête Car"/>
    <w:basedOn w:val="Policepardfaut"/>
    <w:link w:val="En-tte"/>
    <w:uiPriority w:val="99"/>
    <w:rsid w:val="00CD3B85"/>
  </w:style>
  <w:style w:type="paragraph" w:styleId="Pieddepage">
    <w:name w:val="footer"/>
    <w:basedOn w:val="Normal"/>
    <w:link w:val="PieddepageCar"/>
    <w:uiPriority w:val="99"/>
    <w:unhideWhenUsed/>
    <w:rsid w:val="00CD3B85"/>
    <w:pPr>
      <w:tabs>
        <w:tab w:val="center" w:pos="4536"/>
        <w:tab w:val="right" w:pos="9072"/>
      </w:tabs>
    </w:pPr>
  </w:style>
  <w:style w:type="character" w:customStyle="1" w:styleId="PieddepageCar">
    <w:name w:val="Pied de page Car"/>
    <w:basedOn w:val="Policepardfaut"/>
    <w:link w:val="Pieddepage"/>
    <w:uiPriority w:val="99"/>
    <w:rsid w:val="00CD3B85"/>
  </w:style>
  <w:style w:type="paragraph" w:styleId="NormalWeb">
    <w:name w:val="Normal (Web)"/>
    <w:basedOn w:val="Normal"/>
    <w:uiPriority w:val="99"/>
    <w:unhideWhenUsed/>
    <w:rsid w:val="004367BA"/>
    <w:pPr>
      <w:spacing w:before="100" w:beforeAutospacing="1" w:after="100" w:afterAutospacing="1"/>
    </w:pPr>
    <w:rPr>
      <w:rFonts w:ascii="Times" w:hAnsi="Times" w:cs="Times New Roman"/>
      <w:sz w:val="20"/>
      <w:szCs w:val="20"/>
    </w:rPr>
  </w:style>
  <w:style w:type="character" w:styleId="Accentuation">
    <w:name w:val="Emphasis"/>
    <w:basedOn w:val="Policepardfaut"/>
    <w:uiPriority w:val="20"/>
    <w:qFormat/>
    <w:rsid w:val="004367BA"/>
    <w:rPr>
      <w:i/>
      <w:iCs/>
    </w:rPr>
  </w:style>
  <w:style w:type="character" w:styleId="lev">
    <w:name w:val="Strong"/>
    <w:basedOn w:val="Policepardfaut"/>
    <w:uiPriority w:val="22"/>
    <w:qFormat/>
    <w:rsid w:val="004367BA"/>
    <w:rPr>
      <w:b/>
      <w:bCs/>
    </w:rPr>
  </w:style>
  <w:style w:type="paragraph" w:styleId="Notedebasdepage">
    <w:name w:val="footnote text"/>
    <w:basedOn w:val="Normal"/>
    <w:link w:val="NotedebasdepageCar"/>
    <w:uiPriority w:val="99"/>
    <w:unhideWhenUsed/>
    <w:rsid w:val="00E50E58"/>
  </w:style>
  <w:style w:type="character" w:customStyle="1" w:styleId="NotedebasdepageCar">
    <w:name w:val="Note de bas de page Car"/>
    <w:basedOn w:val="Policepardfaut"/>
    <w:link w:val="Notedebasdepage"/>
    <w:uiPriority w:val="99"/>
    <w:rsid w:val="00E50E58"/>
  </w:style>
  <w:style w:type="character" w:styleId="Marquenotebasdepage">
    <w:name w:val="footnote reference"/>
    <w:basedOn w:val="Policepardfaut"/>
    <w:uiPriority w:val="99"/>
    <w:unhideWhenUsed/>
    <w:rsid w:val="00E50E58"/>
    <w:rPr>
      <w:vertAlign w:val="superscript"/>
    </w:rPr>
  </w:style>
  <w:style w:type="character" w:customStyle="1" w:styleId="apple-converted-space">
    <w:name w:val="apple-converted-space"/>
    <w:basedOn w:val="Policepardfaut"/>
    <w:rsid w:val="00E50E58"/>
  </w:style>
  <w:style w:type="character" w:styleId="Lienhypertexte">
    <w:name w:val="Hyperlink"/>
    <w:basedOn w:val="Policepardfaut"/>
    <w:uiPriority w:val="99"/>
    <w:semiHidden/>
    <w:unhideWhenUsed/>
    <w:rsid w:val="00063C50"/>
    <w:rPr>
      <w:color w:val="0000FF"/>
      <w:u w:val="single"/>
    </w:rPr>
  </w:style>
  <w:style w:type="character" w:styleId="Lienhypertextesuivi">
    <w:name w:val="FollowedHyperlink"/>
    <w:basedOn w:val="Policepardfaut"/>
    <w:uiPriority w:val="99"/>
    <w:semiHidden/>
    <w:unhideWhenUsed/>
    <w:rsid w:val="00063C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94466">
      <w:bodyDiv w:val="1"/>
      <w:marLeft w:val="0"/>
      <w:marRight w:val="0"/>
      <w:marTop w:val="0"/>
      <w:marBottom w:val="0"/>
      <w:divBdr>
        <w:top w:val="none" w:sz="0" w:space="0" w:color="auto"/>
        <w:left w:val="none" w:sz="0" w:space="0" w:color="auto"/>
        <w:bottom w:val="none" w:sz="0" w:space="0" w:color="auto"/>
        <w:right w:val="none" w:sz="0" w:space="0" w:color="auto"/>
      </w:divBdr>
    </w:div>
    <w:div w:id="1042824322">
      <w:bodyDiv w:val="1"/>
      <w:marLeft w:val="0"/>
      <w:marRight w:val="0"/>
      <w:marTop w:val="0"/>
      <w:marBottom w:val="0"/>
      <w:divBdr>
        <w:top w:val="none" w:sz="0" w:space="0" w:color="auto"/>
        <w:left w:val="none" w:sz="0" w:space="0" w:color="auto"/>
        <w:bottom w:val="none" w:sz="0" w:space="0" w:color="auto"/>
        <w:right w:val="none" w:sz="0" w:space="0" w:color="auto"/>
      </w:divBdr>
    </w:div>
    <w:div w:id="1316377808">
      <w:bodyDiv w:val="1"/>
      <w:marLeft w:val="0"/>
      <w:marRight w:val="0"/>
      <w:marTop w:val="0"/>
      <w:marBottom w:val="0"/>
      <w:divBdr>
        <w:top w:val="none" w:sz="0" w:space="0" w:color="auto"/>
        <w:left w:val="none" w:sz="0" w:space="0" w:color="auto"/>
        <w:bottom w:val="none" w:sz="0" w:space="0" w:color="auto"/>
        <w:right w:val="none" w:sz="0" w:space="0" w:color="auto"/>
      </w:divBdr>
    </w:div>
    <w:div w:id="1350597948">
      <w:bodyDiv w:val="1"/>
      <w:marLeft w:val="0"/>
      <w:marRight w:val="0"/>
      <w:marTop w:val="0"/>
      <w:marBottom w:val="0"/>
      <w:divBdr>
        <w:top w:val="none" w:sz="0" w:space="0" w:color="auto"/>
        <w:left w:val="none" w:sz="0" w:space="0" w:color="auto"/>
        <w:bottom w:val="none" w:sz="0" w:space="0" w:color="auto"/>
        <w:right w:val="none" w:sz="0" w:space="0" w:color="auto"/>
      </w:divBdr>
    </w:div>
    <w:div w:id="1362780068">
      <w:bodyDiv w:val="1"/>
      <w:marLeft w:val="0"/>
      <w:marRight w:val="0"/>
      <w:marTop w:val="0"/>
      <w:marBottom w:val="0"/>
      <w:divBdr>
        <w:top w:val="none" w:sz="0" w:space="0" w:color="auto"/>
        <w:left w:val="none" w:sz="0" w:space="0" w:color="auto"/>
        <w:bottom w:val="none" w:sz="0" w:space="0" w:color="auto"/>
        <w:right w:val="none" w:sz="0" w:space="0" w:color="auto"/>
      </w:divBdr>
    </w:div>
    <w:div w:id="1488280600">
      <w:bodyDiv w:val="1"/>
      <w:marLeft w:val="0"/>
      <w:marRight w:val="0"/>
      <w:marTop w:val="0"/>
      <w:marBottom w:val="0"/>
      <w:divBdr>
        <w:top w:val="none" w:sz="0" w:space="0" w:color="auto"/>
        <w:left w:val="none" w:sz="0" w:space="0" w:color="auto"/>
        <w:bottom w:val="none" w:sz="0" w:space="0" w:color="auto"/>
        <w:right w:val="none" w:sz="0" w:space="0" w:color="auto"/>
      </w:divBdr>
    </w:div>
    <w:div w:id="17033597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courdecassation.fr/jurisprudence_2/assemblee_pleniere_22/avis_avocat_general_8723.html" TargetMode="External"/><Relationship Id="rId10" Type="http://schemas.openxmlformats.org/officeDocument/2006/relationships/hyperlink" Target="https://www.courdecassation.fr/jurisprudence_2/assemblee_pleniere_22/avis_avocat_general_8723.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4F2D1-12A0-0245-8093-CF1DE991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1937</Words>
  <Characters>10658</Characters>
  <Application>Microsoft Macintosh Word</Application>
  <DocSecurity>0</DocSecurity>
  <Lines>88</Lines>
  <Paragraphs>25</Paragraphs>
  <ScaleCrop>false</ScaleCrop>
  <Company>UM</Company>
  <LinksUpToDate>false</LinksUpToDate>
  <CharactersWithSpaces>12570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Brunner</dc:creator>
  <cp:keywords/>
  <dc:description/>
  <cp:lastModifiedBy>Sacha Brunner</cp:lastModifiedBy>
  <cp:revision>3</cp:revision>
  <dcterms:created xsi:type="dcterms:W3CDTF">2020-02-01T18:03:00Z</dcterms:created>
  <dcterms:modified xsi:type="dcterms:W3CDTF">2020-02-02T10:54:00Z</dcterms:modified>
</cp:coreProperties>
</file>