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2201B" w14:textId="77777777" w:rsidR="008A3457" w:rsidRPr="00CF026D" w:rsidRDefault="00CF026D">
      <w:pPr>
        <w:rPr>
          <w:rFonts w:ascii="Garamond" w:hAnsi="Garamond"/>
          <w:b/>
        </w:rPr>
      </w:pPr>
      <w:r w:rsidRPr="00CF026D">
        <w:rPr>
          <w:rFonts w:ascii="Garamond" w:hAnsi="Garamond"/>
          <w:b/>
        </w:rPr>
        <w:t>CORRECTION CIV.3</w:t>
      </w:r>
      <w:r w:rsidRPr="00CF026D">
        <w:rPr>
          <w:rFonts w:ascii="Garamond" w:hAnsi="Garamond"/>
          <w:b/>
          <w:vertAlign w:val="superscript"/>
        </w:rPr>
        <w:t>ème</w:t>
      </w:r>
      <w:r w:rsidRPr="00CF026D">
        <w:rPr>
          <w:rFonts w:ascii="Garamond" w:hAnsi="Garamond"/>
          <w:b/>
        </w:rPr>
        <w:t xml:space="preserve"> 17 JANVIER 2007</w:t>
      </w:r>
    </w:p>
    <w:p w14:paraId="01D66D4D" w14:textId="77777777" w:rsidR="00CF026D" w:rsidRPr="00CF026D" w:rsidRDefault="00CF026D">
      <w:pPr>
        <w:rPr>
          <w:rFonts w:ascii="Garamond" w:hAnsi="Garamond"/>
        </w:rPr>
      </w:pPr>
    </w:p>
    <w:p w14:paraId="1A2BCD03" w14:textId="77777777" w:rsidR="00CF026D" w:rsidRDefault="00CF026D">
      <w:pPr>
        <w:rPr>
          <w:rFonts w:ascii="Garamond" w:hAnsi="Garamond"/>
        </w:rPr>
      </w:pPr>
    </w:p>
    <w:p w14:paraId="1D649BC0" w14:textId="77777777" w:rsidR="00CF026D" w:rsidRDefault="00CF026D">
      <w:pPr>
        <w:rPr>
          <w:rFonts w:ascii="Garamond" w:hAnsi="Garamond"/>
        </w:rPr>
      </w:pPr>
      <w:r>
        <w:rPr>
          <w:rFonts w:ascii="Garamond" w:hAnsi="Garamond"/>
          <w:u w:val="single"/>
        </w:rPr>
        <w:t>Faits matériels</w:t>
      </w:r>
      <w:r>
        <w:rPr>
          <w:rFonts w:ascii="Garamond" w:hAnsi="Garamond"/>
        </w:rPr>
        <w:t xml:space="preserve"> : </w:t>
      </w:r>
    </w:p>
    <w:p w14:paraId="37B7CCF2" w14:textId="77777777" w:rsidR="00CF026D" w:rsidRDefault="00CF026D" w:rsidP="00CF026D">
      <w:pPr>
        <w:pStyle w:val="Pardeliste"/>
        <w:numPr>
          <w:ilvl w:val="0"/>
          <w:numId w:val="2"/>
        </w:numPr>
        <w:rPr>
          <w:rFonts w:ascii="Garamond" w:hAnsi="Garamond"/>
        </w:rPr>
      </w:pPr>
      <w:r w:rsidRPr="00CF026D">
        <w:rPr>
          <w:rFonts w:ascii="Garamond" w:hAnsi="Garamond"/>
        </w:rPr>
        <w:t xml:space="preserve">M.Y consent une PUV à M.X sur une maison. </w:t>
      </w:r>
    </w:p>
    <w:p w14:paraId="213E4299" w14:textId="77777777" w:rsidR="00CF026D" w:rsidRPr="00CF026D" w:rsidRDefault="00CF026D" w:rsidP="00CF026D">
      <w:pPr>
        <w:pStyle w:val="Pardeliste"/>
        <w:numPr>
          <w:ilvl w:val="0"/>
          <w:numId w:val="2"/>
        </w:numPr>
        <w:rPr>
          <w:rFonts w:ascii="Garamond" w:hAnsi="Garamond"/>
        </w:rPr>
      </w:pPr>
      <w:r w:rsidRPr="00CF026D">
        <w:rPr>
          <w:rFonts w:ascii="Garamond" w:hAnsi="Garamond"/>
        </w:rPr>
        <w:t>M</w:t>
      </w:r>
      <w:r>
        <w:rPr>
          <w:rFonts w:ascii="Garamond" w:hAnsi="Garamond"/>
        </w:rPr>
        <w:t>.X lève l’option et somme M.Y de passer l’acte</w:t>
      </w:r>
    </w:p>
    <w:p w14:paraId="6C8DA386" w14:textId="77777777" w:rsidR="00CF026D" w:rsidRDefault="00CF026D" w:rsidP="00CF026D">
      <w:pPr>
        <w:rPr>
          <w:rFonts w:ascii="Garamond" w:hAnsi="Garamond"/>
        </w:rPr>
      </w:pPr>
      <w:r>
        <w:rPr>
          <w:rFonts w:ascii="Garamond" w:hAnsi="Garamond"/>
          <w:u w:val="single"/>
        </w:rPr>
        <w:t>Faits judiciaires</w:t>
      </w:r>
      <w:r>
        <w:rPr>
          <w:rFonts w:ascii="Garamond" w:hAnsi="Garamond"/>
        </w:rPr>
        <w:t xml:space="preserve"> : </w:t>
      </w:r>
    </w:p>
    <w:p w14:paraId="10C73183" w14:textId="77777777" w:rsidR="00CF026D" w:rsidRDefault="00CF026D" w:rsidP="00CF026D">
      <w:pPr>
        <w:pStyle w:val="Par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M.X assigne Y en réalisation de la vente </w:t>
      </w:r>
    </w:p>
    <w:p w14:paraId="44C31C5F" w14:textId="77777777" w:rsidR="00CF026D" w:rsidRDefault="00CF026D" w:rsidP="00CF026D">
      <w:pPr>
        <w:pStyle w:val="Par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CA Paris 27 octobre 2005 : prononce la nullité de la PUV car M.X, acquéreur n’a pas révélé à M.Y une information essentielle sur le prix de l’immeuble à son vendeur = déloyauté </w:t>
      </w:r>
      <w:r w:rsidRPr="00CF026D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réticence dolosive</w:t>
      </w:r>
    </w:p>
    <w:p w14:paraId="0C2441AE" w14:textId="77777777" w:rsidR="00CF026D" w:rsidRDefault="00CF026D" w:rsidP="00CF026D">
      <w:pPr>
        <w:pStyle w:val="Par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M.X forme un pourvoi en cassation car il n’était pas obligé en tant qu’acquéreur, même professionnel, de communiquer les informations qu’il détenait sur le bien acquis. </w:t>
      </w:r>
    </w:p>
    <w:p w14:paraId="65F86987" w14:textId="77777777" w:rsidR="00CF026D" w:rsidRDefault="00CF026D" w:rsidP="00CF026D">
      <w:pPr>
        <w:pStyle w:val="Pardeliste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Civ</w:t>
      </w:r>
      <w:proofErr w:type="spellEnd"/>
      <w:r>
        <w:rPr>
          <w:rFonts w:ascii="Garamond" w:hAnsi="Garamond"/>
        </w:rPr>
        <w:t>. 3</w:t>
      </w:r>
      <w:r w:rsidRPr="00CF026D">
        <w:rPr>
          <w:rFonts w:ascii="Garamond" w:hAnsi="Garamond"/>
          <w:vertAlign w:val="superscript"/>
        </w:rPr>
        <w:t>ème</w:t>
      </w:r>
      <w:r>
        <w:rPr>
          <w:rFonts w:ascii="Garamond" w:hAnsi="Garamond"/>
        </w:rPr>
        <w:t xml:space="preserve"> casse et annule </w:t>
      </w:r>
    </w:p>
    <w:p w14:paraId="05F55E87" w14:textId="77777777" w:rsidR="00CF026D" w:rsidRDefault="00CF026D" w:rsidP="00CF026D">
      <w:pPr>
        <w:rPr>
          <w:rFonts w:ascii="Garamond" w:hAnsi="Garamond"/>
        </w:rPr>
      </w:pPr>
    </w:p>
    <w:p w14:paraId="31380589" w14:textId="77777777" w:rsidR="00CF026D" w:rsidRDefault="00CF026D" w:rsidP="00CF026D">
      <w:pPr>
        <w:rPr>
          <w:rFonts w:ascii="Garamond" w:hAnsi="Garamond"/>
        </w:rPr>
      </w:pPr>
      <w:r>
        <w:rPr>
          <w:rFonts w:ascii="Garamond" w:hAnsi="Garamond"/>
          <w:u w:val="single"/>
        </w:rPr>
        <w:t>Problème de droit</w:t>
      </w:r>
      <w:r>
        <w:rPr>
          <w:rFonts w:ascii="Garamond" w:hAnsi="Garamond"/>
        </w:rPr>
        <w:t xml:space="preserve"> : La non communication d’informations essentielles par un acquéreur professionnel à son vendeur, à propos du bien vendu, est-elle constitutive d’un dol susceptible d’entrainer la nullité du contrat ? </w:t>
      </w:r>
    </w:p>
    <w:p w14:paraId="4D391DDA" w14:textId="77777777" w:rsidR="00CF026D" w:rsidRDefault="00CF026D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tbl>
      <w:tblPr>
        <w:tblStyle w:val="Grilledutableau"/>
        <w:tblpPr w:leftFromText="141" w:rightFromText="141" w:vertAnchor="text" w:horzAnchor="page" w:tblpX="583" w:tblpY="-692"/>
        <w:tblW w:w="11063" w:type="dxa"/>
        <w:tblLook w:val="04A0" w:firstRow="1" w:lastRow="0" w:firstColumn="1" w:lastColumn="0" w:noHBand="0" w:noVBand="1"/>
      </w:tblPr>
      <w:tblGrid>
        <w:gridCol w:w="5531"/>
        <w:gridCol w:w="5532"/>
      </w:tblGrid>
      <w:tr w:rsidR="00CF026D" w:rsidRPr="00CF026D" w14:paraId="44DA5AD8" w14:textId="77777777" w:rsidTr="00CF026D">
        <w:tc>
          <w:tcPr>
            <w:tcW w:w="5531" w:type="dxa"/>
          </w:tcPr>
          <w:p w14:paraId="233B202B" w14:textId="77777777" w:rsidR="00CF026D" w:rsidRPr="00CF026D" w:rsidRDefault="00CF026D" w:rsidP="00CF026D">
            <w:pPr>
              <w:pStyle w:val="Pardeliste"/>
              <w:numPr>
                <w:ilvl w:val="0"/>
                <w:numId w:val="3"/>
              </w:numPr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  <w:u w:val="single"/>
              </w:rPr>
              <w:lastRenderedPageBreak/>
              <w:t>Le rejet entériné du dol de l’acquéreur professionnel</w:t>
            </w:r>
          </w:p>
          <w:p w14:paraId="2E4DE1A5" w14:textId="77777777" w:rsidR="00CF026D" w:rsidRPr="00CF026D" w:rsidRDefault="00CF026D" w:rsidP="00CF026D">
            <w:pPr>
              <w:pStyle w:val="Pardeliste"/>
              <w:ind w:left="1080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32" w:type="dxa"/>
          </w:tcPr>
          <w:p w14:paraId="7CD6507A" w14:textId="77777777" w:rsidR="00CF026D" w:rsidRPr="00CF026D" w:rsidRDefault="00CF026D" w:rsidP="00CF026D">
            <w:pPr>
              <w:pStyle w:val="Pardeliste"/>
              <w:numPr>
                <w:ilvl w:val="0"/>
                <w:numId w:val="3"/>
              </w:numPr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  <w:u w:val="single"/>
              </w:rPr>
              <w:t xml:space="preserve">La mise en exergue d’une conception objective du dol </w:t>
            </w:r>
          </w:p>
        </w:tc>
      </w:tr>
      <w:tr w:rsidR="00CF026D" w:rsidRPr="00CF026D" w14:paraId="1470BD6E" w14:textId="77777777" w:rsidTr="00314057">
        <w:trPr>
          <w:trHeight w:val="5680"/>
        </w:trPr>
        <w:tc>
          <w:tcPr>
            <w:tcW w:w="5531" w:type="dxa"/>
          </w:tcPr>
          <w:p w14:paraId="07DBFA7F" w14:textId="77777777" w:rsidR="00CF026D" w:rsidRDefault="00CF026D" w:rsidP="00CF026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</w:rPr>
              <w:t xml:space="preserve">A La mise en évidence relative d’une réticence dolosive </w:t>
            </w:r>
          </w:p>
          <w:p w14:paraId="7C8E0B12" w14:textId="77777777" w:rsidR="00314057" w:rsidRPr="00CF026D" w:rsidRDefault="00314057" w:rsidP="00CF026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14:paraId="1D258E70" w14:textId="77777777" w:rsidR="00CF026D" w:rsidRPr="00CF026D" w:rsidRDefault="00CF026D" w:rsidP="00CF026D">
            <w:pPr>
              <w:pStyle w:val="Pardeliste"/>
              <w:numPr>
                <w:ilvl w:val="0"/>
                <w:numId w:val="6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>L’identification du dol</w:t>
            </w:r>
          </w:p>
          <w:p w14:paraId="44D63049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680732F0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Définition du vice du consentement – du dol ainsi que des différentes formes du dol : manœuvres et réticences </w:t>
            </w:r>
          </w:p>
          <w:p w14:paraId="773A19E5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Rapprochement récurrent à l’exigence de bonne foi (attention à l’époque a priori seulement au stade de l’exécution) : ce qui explique que la CA évoque la loyauté</w:t>
            </w:r>
          </w:p>
          <w:p w14:paraId="0B0057F0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273A3B7A" w14:textId="77777777" w:rsidR="00CF026D" w:rsidRPr="00CF026D" w:rsidRDefault="00CF026D" w:rsidP="00CF026D">
            <w:pPr>
              <w:pStyle w:val="Pardeliste"/>
              <w:numPr>
                <w:ilvl w:val="0"/>
                <w:numId w:val="6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>La problématique lié</w:t>
            </w:r>
            <w:r w:rsidRPr="00CF026D">
              <w:rPr>
                <w:rFonts w:ascii="Garamond" w:hAnsi="Garamond"/>
                <w:i/>
                <w:sz w:val="22"/>
                <w:szCs w:val="22"/>
              </w:rPr>
              <w:t>e</w:t>
            </w:r>
            <w:r w:rsidRPr="00CF026D">
              <w:rPr>
                <w:rFonts w:ascii="Garamond" w:hAnsi="Garamond"/>
                <w:i/>
                <w:sz w:val="22"/>
                <w:szCs w:val="22"/>
              </w:rPr>
              <w:t xml:space="preserve"> au dol de l’acq</w:t>
            </w:r>
            <w:r w:rsidRPr="00CF026D">
              <w:rPr>
                <w:rFonts w:ascii="Garamond" w:hAnsi="Garamond"/>
                <w:i/>
                <w:sz w:val="22"/>
                <w:szCs w:val="22"/>
              </w:rPr>
              <w:t>uéreur</w:t>
            </w:r>
          </w:p>
          <w:p w14:paraId="00086E06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5E718038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Admission du dol classiquement émanant du vendeur (ex civ. 1</w:t>
            </w:r>
            <w:r w:rsidRPr="00CF026D">
              <w:rPr>
                <w:rFonts w:ascii="Garamond" w:hAnsi="Garamond"/>
                <w:sz w:val="22"/>
                <w:szCs w:val="22"/>
                <w:vertAlign w:val="superscript"/>
              </w:rPr>
              <w:t>ère</w:t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 22 juin 2005 : réticence du vendeur cause erreur sur la substance pour l’acquéreur), </w:t>
            </w:r>
            <w:r w:rsidRPr="00CF026D">
              <w:rPr>
                <w:rFonts w:ascii="Garamond" w:hAnsi="Garamond"/>
                <w:b/>
                <w:sz w:val="22"/>
                <w:szCs w:val="22"/>
              </w:rPr>
              <w:t xml:space="preserve">mais plus rarement en venant de l’acquéreur </w:t>
            </w:r>
            <w:r w:rsidRPr="00CF026D">
              <w:rPr>
                <w:rFonts w:ascii="Garamond" w:hAnsi="Garamond"/>
                <w:b/>
                <w:sz w:val="22"/>
                <w:szCs w:val="22"/>
              </w:rPr>
              <w:sym w:font="Wingdings" w:char="F0E8"/>
            </w:r>
            <w:r w:rsidRPr="00CF026D">
              <w:rPr>
                <w:rFonts w:ascii="Garamond" w:hAnsi="Garamond"/>
                <w:b/>
                <w:sz w:val="22"/>
                <w:szCs w:val="22"/>
              </w:rPr>
              <w:t xml:space="preserve"> arrêt </w:t>
            </w:r>
            <w:proofErr w:type="spellStart"/>
            <w:r w:rsidRPr="00CF026D">
              <w:rPr>
                <w:rFonts w:ascii="Garamond" w:hAnsi="Garamond"/>
                <w:b/>
                <w:sz w:val="22"/>
                <w:szCs w:val="22"/>
              </w:rPr>
              <w:t>Baldus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 xml:space="preserve">, 3 mai 2000 est un arrêt de principe en matière de dol de l’acheteur </w:t>
            </w:r>
            <w:r w:rsidRPr="00CF026D">
              <w:rPr>
                <w:rFonts w:ascii="Garamond" w:hAnsi="Garamond"/>
                <w:sz w:val="22"/>
                <w:szCs w:val="22"/>
              </w:rPr>
              <w:sym w:font="Wingdings" w:char="F0E8"/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 pas de dol caractérisé car pas d’obligation d’information</w:t>
            </w:r>
          </w:p>
          <w:p w14:paraId="4350CC59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32" w:type="dxa"/>
          </w:tcPr>
          <w:p w14:paraId="0DBC37F2" w14:textId="77777777" w:rsidR="00CF026D" w:rsidRPr="00CF026D" w:rsidRDefault="00CF026D" w:rsidP="00CF026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</w:rPr>
              <w:t>A Une prise de position catégorique à l’égard du vendeur</w:t>
            </w:r>
            <w:r w:rsidRPr="00CF026D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  <w:p w14:paraId="08BAE894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057928F2" w14:textId="77777777" w:rsidR="00CF026D" w:rsidRPr="00CF026D" w:rsidRDefault="00CF026D" w:rsidP="00CF026D">
            <w:pPr>
              <w:pStyle w:val="Pardeliste"/>
              <w:numPr>
                <w:ilvl w:val="0"/>
                <w:numId w:val="7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>Une objectivité bienvenue</w:t>
            </w:r>
          </w:p>
          <w:p w14:paraId="142481B7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57910CFD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L’acquéreur doit pouvoir faire des bonnes affaires, peu important son statut de particulier ou de professionnel</w:t>
            </w:r>
          </w:p>
          <w:p w14:paraId="72AC38FF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Manière également de responsabiliser le vendeur, qui doit prendre toutes les dispositions utiles afin de parvenir à une estimation juste de la valeur du bien qu’il est sur le point de vendre. </w:t>
            </w:r>
          </w:p>
          <w:p w14:paraId="54138ED7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0D5B9FDB" w14:textId="77777777" w:rsidR="00CF026D" w:rsidRPr="00CF026D" w:rsidRDefault="00CF026D" w:rsidP="00CF026D">
            <w:pPr>
              <w:pStyle w:val="Pardeliste"/>
              <w:numPr>
                <w:ilvl w:val="0"/>
                <w:numId w:val="7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>Une objectivité critiquable</w:t>
            </w:r>
          </w:p>
          <w:p w14:paraId="0F104E8E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7FA267B0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La solution est particulière sévère pour le vendeur : presque rupture d’égalité du régime du dol </w:t>
            </w:r>
            <w:r w:rsidRPr="00CF026D">
              <w:rPr>
                <w:rFonts w:ascii="Garamond" w:hAnsi="Garamond"/>
                <w:sz w:val="22"/>
                <w:szCs w:val="22"/>
              </w:rPr>
              <w:sym w:font="Wingdings" w:char="F0E8"/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 l’acquéreur est mieux protéger que le vendeur car il est présumé être moins bien informé ce qui en pratique, n’est pas toujours vrai ! En l’espèce la solution paraît encore plus surprenante que l’</w:t>
            </w:r>
            <w:proofErr w:type="spellStart"/>
            <w:r w:rsidRPr="00CF026D">
              <w:rPr>
                <w:rFonts w:ascii="Garamond" w:hAnsi="Garamond"/>
                <w:sz w:val="22"/>
                <w:szCs w:val="22"/>
              </w:rPr>
              <w:t>acq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 xml:space="preserve"> est un pro de l’</w:t>
            </w:r>
            <w:proofErr w:type="spellStart"/>
            <w:r w:rsidRPr="00CF026D">
              <w:rPr>
                <w:rFonts w:ascii="Garamond" w:hAnsi="Garamond"/>
                <w:sz w:val="22"/>
                <w:szCs w:val="22"/>
              </w:rPr>
              <w:t>immo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 xml:space="preserve"> et que le vendeur ne l’est pas : le déséquilibre semble pourtant manifeste : la règle de </w:t>
            </w:r>
            <w:proofErr w:type="spellStart"/>
            <w:r w:rsidRPr="00CF026D">
              <w:rPr>
                <w:rFonts w:ascii="Garamond" w:hAnsi="Garamond"/>
                <w:sz w:val="22"/>
                <w:szCs w:val="22"/>
              </w:rPr>
              <w:t>Baldus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 xml:space="preserve"> ne correspond au but poursuivi, et pourtant la règle est entérinée. </w:t>
            </w:r>
          </w:p>
        </w:tc>
      </w:tr>
      <w:tr w:rsidR="00CF026D" w:rsidRPr="00CF026D" w14:paraId="6E39F3B1" w14:textId="77777777" w:rsidTr="00314057">
        <w:trPr>
          <w:trHeight w:val="7581"/>
        </w:trPr>
        <w:tc>
          <w:tcPr>
            <w:tcW w:w="5531" w:type="dxa"/>
          </w:tcPr>
          <w:p w14:paraId="441FED6B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14:paraId="17E3EE27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</w:rPr>
              <w:t>B Le défaut d’obligation d’information de l’acheteur comme justification du rejet du dol de l’acquéreur professionnel</w:t>
            </w:r>
          </w:p>
          <w:p w14:paraId="1E33FE33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14:paraId="4BABAE90" w14:textId="77777777" w:rsidR="00CF026D" w:rsidRPr="00CF026D" w:rsidRDefault="00CF026D" w:rsidP="00CF026D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 xml:space="preserve">L’absence d’obligation d’information décisive </w:t>
            </w:r>
          </w:p>
          <w:p w14:paraId="1454A175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0DC2C280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Notre arrêt poursuit </w:t>
            </w:r>
            <w:proofErr w:type="spellStart"/>
            <w:r w:rsidRPr="00CF026D">
              <w:rPr>
                <w:rFonts w:ascii="Garamond" w:hAnsi="Garamond"/>
                <w:sz w:val="22"/>
                <w:szCs w:val="22"/>
              </w:rPr>
              <w:t>Baldus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>, les solutions sont d’ailleurs assez ressemblantes « </w:t>
            </w:r>
            <w:proofErr w:type="gramStart"/>
            <w:r w:rsidRPr="00CF026D">
              <w:rPr>
                <w:rFonts w:ascii="Garamond" w:hAnsi="Garamond"/>
                <w:i/>
                <w:sz w:val="22"/>
                <w:szCs w:val="22"/>
              </w:rPr>
              <w:t>l’acquéreur ,</w:t>
            </w:r>
            <w:proofErr w:type="gramEnd"/>
            <w:r w:rsidRPr="00CF026D">
              <w:rPr>
                <w:rFonts w:ascii="Garamond" w:hAnsi="Garamond"/>
                <w:i/>
                <w:sz w:val="22"/>
                <w:szCs w:val="22"/>
              </w:rPr>
              <w:t xml:space="preserve"> même pro, pas tenu d’une OI au profit du vendeur sur la valeur du bien</w:t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 » </w:t>
            </w:r>
          </w:p>
          <w:p w14:paraId="03AC566F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La Cour entérine donc l’idée selon laquelle : si pas d’OI alors pas de raison de sanctionner acquéreur – en </w:t>
            </w:r>
            <w:proofErr w:type="gramStart"/>
            <w:r w:rsidRPr="00CF026D">
              <w:rPr>
                <w:rFonts w:ascii="Garamond" w:hAnsi="Garamond"/>
                <w:sz w:val="22"/>
                <w:szCs w:val="22"/>
              </w:rPr>
              <w:t>somme il</w:t>
            </w:r>
            <w:proofErr w:type="gramEnd"/>
            <w:r w:rsidRPr="00CF026D">
              <w:rPr>
                <w:rFonts w:ascii="Garamond" w:hAnsi="Garamond"/>
                <w:sz w:val="22"/>
                <w:szCs w:val="22"/>
              </w:rPr>
              <w:t xml:space="preserve"> n’y a pas de qualification d’intention de nuire caractérisant le dol </w:t>
            </w:r>
          </w:p>
          <w:p w14:paraId="057CA111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Va plus loin en dégageant la même règle pour l’acquéreur </w:t>
            </w:r>
            <w:r w:rsidRPr="00CF026D">
              <w:rPr>
                <w:rFonts w:ascii="Garamond" w:hAnsi="Garamond"/>
                <w:sz w:val="22"/>
                <w:szCs w:val="22"/>
                <w:u w:val="single"/>
              </w:rPr>
              <w:t>professionnel</w:t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 alors qu’on pourrait légitimement penser qu’il est tenu, presque par principe, d’informer son cocontractant.</w:t>
            </w:r>
          </w:p>
          <w:p w14:paraId="193BBA42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2365287B" w14:textId="77777777" w:rsidR="00CF026D" w:rsidRPr="00CF026D" w:rsidRDefault="00CF026D" w:rsidP="00CF026D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 xml:space="preserve">L’abandon confirmé de la bonne foi contractuelle </w:t>
            </w:r>
          </w:p>
          <w:p w14:paraId="7ACEBA7E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67D55C5F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La BF (loyauté) pourtant évoqué par la CA est complètement écartée par la CCASS dans sa solution – le tournant amorcé par l’arrêt </w:t>
            </w:r>
            <w:proofErr w:type="spellStart"/>
            <w:r w:rsidRPr="00CF026D">
              <w:rPr>
                <w:rFonts w:ascii="Garamond" w:hAnsi="Garamond"/>
                <w:sz w:val="22"/>
                <w:szCs w:val="22"/>
              </w:rPr>
              <w:t>Baldus</w:t>
            </w:r>
            <w:proofErr w:type="spellEnd"/>
            <w:r w:rsidRPr="00CF026D">
              <w:rPr>
                <w:rFonts w:ascii="Garamond" w:hAnsi="Garamond"/>
                <w:sz w:val="22"/>
                <w:szCs w:val="22"/>
              </w:rPr>
              <w:t xml:space="preserve"> semble donc confirmé : OI privilégié à la BF </w:t>
            </w:r>
            <w:r w:rsidRPr="00CF026D">
              <w:rPr>
                <w:rFonts w:ascii="Garamond" w:hAnsi="Garamond"/>
                <w:sz w:val="22"/>
                <w:szCs w:val="22"/>
              </w:rPr>
              <w:sym w:font="Wingdings" w:char="F0E8"/>
            </w:r>
            <w:r w:rsidRPr="00CF026D">
              <w:rPr>
                <w:rFonts w:ascii="Garamond" w:hAnsi="Garamond"/>
                <w:sz w:val="22"/>
                <w:szCs w:val="22"/>
              </w:rPr>
              <w:t xml:space="preserve"> conception certainement plus objective du dol (transition vers II)</w:t>
            </w:r>
          </w:p>
          <w:p w14:paraId="7F45983A" w14:textId="77777777" w:rsidR="00CF026D" w:rsidRPr="00CF026D" w:rsidRDefault="00CF026D" w:rsidP="00CF026D">
            <w:pPr>
              <w:ind w:left="36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5532" w:type="dxa"/>
          </w:tcPr>
          <w:p w14:paraId="2BEDE29B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601B1FC2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b/>
                <w:sz w:val="22"/>
                <w:szCs w:val="22"/>
              </w:rPr>
              <w:t xml:space="preserve">B </w:t>
            </w:r>
            <w:r w:rsidRPr="00CF026D">
              <w:rPr>
                <w:rFonts w:ascii="Garamond" w:hAnsi="Garamond"/>
                <w:b/>
                <w:sz w:val="22"/>
                <w:szCs w:val="22"/>
              </w:rPr>
              <w:t>Un rééquilibrage législatif de l’obligation d’information</w:t>
            </w:r>
          </w:p>
          <w:p w14:paraId="0B9E5250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53C86BB4" w14:textId="77777777" w:rsidR="00CF026D" w:rsidRPr="00CF026D" w:rsidRDefault="00CF026D" w:rsidP="00CF026D">
            <w:pPr>
              <w:pStyle w:val="Pardeliste"/>
              <w:numPr>
                <w:ilvl w:val="0"/>
                <w:numId w:val="8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 xml:space="preserve">La nouvelle obligation d’information précontractuelle </w:t>
            </w:r>
          </w:p>
          <w:p w14:paraId="4AD8AB69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7534BEDF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Nouvel art. 1112-1 : obligation d’information précontractuelle imposée au stade des négociations (cohérence avec l’idée selon laquelle désormais la BF est imposée dès les négociations : 1112 + 1104)</w:t>
            </w:r>
          </w:p>
          <w:p w14:paraId="038B6827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Chaque partie est tenue par </w:t>
            </w:r>
            <w:proofErr w:type="gramStart"/>
            <w:r w:rsidRPr="00CF026D">
              <w:rPr>
                <w:rFonts w:ascii="Garamond" w:hAnsi="Garamond"/>
                <w:sz w:val="22"/>
                <w:szCs w:val="22"/>
              </w:rPr>
              <w:t>ce</w:t>
            </w:r>
            <w:proofErr w:type="gramEnd"/>
            <w:r w:rsidRPr="00CF026D">
              <w:rPr>
                <w:rFonts w:ascii="Garamond" w:hAnsi="Garamond"/>
                <w:sz w:val="22"/>
                <w:szCs w:val="22"/>
              </w:rPr>
              <w:t xml:space="preserve"> « devoir » : la condition est seulement que la partie doit détenir une info qu’il sait/pense être le seul à avoir – caractère impératif !!</w:t>
            </w:r>
          </w:p>
          <w:p w14:paraId="16274C74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7CACBF06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0A2954ED" w14:textId="77777777" w:rsidR="00CF026D" w:rsidRPr="00CF026D" w:rsidRDefault="00CF026D" w:rsidP="00CF026D">
            <w:pPr>
              <w:pStyle w:val="Pardeliste"/>
              <w:numPr>
                <w:ilvl w:val="0"/>
                <w:numId w:val="8"/>
              </w:numPr>
              <w:jc w:val="both"/>
              <w:rPr>
                <w:rFonts w:ascii="Garamond" w:hAnsi="Garamond"/>
                <w:i/>
                <w:sz w:val="22"/>
                <w:szCs w:val="22"/>
              </w:rPr>
            </w:pPr>
            <w:r w:rsidRPr="00CF026D">
              <w:rPr>
                <w:rFonts w:ascii="Garamond" w:hAnsi="Garamond"/>
                <w:i/>
                <w:sz w:val="22"/>
                <w:szCs w:val="22"/>
              </w:rPr>
              <w:t>Une incidence probable sur la conception du dol de l’acquéreur</w:t>
            </w:r>
          </w:p>
          <w:p w14:paraId="6EABB26E" w14:textId="77777777" w:rsidR="00CF026D" w:rsidRPr="00CF026D" w:rsidRDefault="00CF026D" w:rsidP="00CF026D">
            <w:pPr>
              <w:jc w:val="both"/>
              <w:rPr>
                <w:rFonts w:ascii="Garamond" w:hAnsi="Garamond"/>
                <w:i/>
                <w:sz w:val="22"/>
                <w:szCs w:val="22"/>
              </w:rPr>
            </w:pPr>
          </w:p>
          <w:p w14:paraId="4BE917DA" w14:textId="77777777" w:rsidR="00CF026D" w:rsidRPr="00CF026D" w:rsidRDefault="00CF026D" w:rsidP="00CF026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 xml:space="preserve">Si la consécration d’une OIP est bienvenue, elle mérite d’être relativisée du point de vue des vices du consentement : 2 raisons principalement : </w:t>
            </w:r>
          </w:p>
          <w:p w14:paraId="4844E3A1" w14:textId="77777777" w:rsidR="00CF026D" w:rsidRDefault="00CF026D" w:rsidP="00CF026D">
            <w:pPr>
              <w:pStyle w:val="Pardeliste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CF026D">
              <w:rPr>
                <w:rFonts w:ascii="Garamond" w:hAnsi="Garamond"/>
                <w:sz w:val="22"/>
                <w:szCs w:val="22"/>
              </w:rPr>
              <w:t>Les champs d’applications sont bien distincts (bien que 1112-1 parle d’info « déterminante » : à ne pas confondre avec le caractère déterminant des VC)</w:t>
            </w:r>
            <w:r>
              <w:rPr>
                <w:rFonts w:ascii="Garamond" w:hAnsi="Garamond"/>
                <w:sz w:val="22"/>
                <w:szCs w:val="22"/>
              </w:rPr>
              <w:t xml:space="preserve"> – donc peut être (certainement) que 1112-1 servira à démontrer dans un second temps une réticence dolosive MAIS attention à ne pas confondre</w:t>
            </w:r>
          </w:p>
          <w:p w14:paraId="15DD84BD" w14:textId="77777777" w:rsidR="00CF026D" w:rsidRPr="00CF026D" w:rsidRDefault="00CF026D" w:rsidP="00CF026D">
            <w:pPr>
              <w:pStyle w:val="Pardeliste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Parce que la principale limite de l’OIP est dans l’al2 : ne porte pas sur l’estimation de la valeur ! Donc finalement, a trait à l’essentiel des problématiques liées au dol de l’acquéreur….</w:t>
            </w:r>
          </w:p>
        </w:tc>
      </w:tr>
    </w:tbl>
    <w:p w14:paraId="4046AD82" w14:textId="77777777" w:rsidR="00CF026D" w:rsidRPr="00CF026D" w:rsidRDefault="00CF026D" w:rsidP="00CF026D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p w14:paraId="552540B0" w14:textId="77777777" w:rsidR="00CF026D" w:rsidRPr="00CF026D" w:rsidRDefault="00CF026D" w:rsidP="00CF026D">
      <w:pPr>
        <w:rPr>
          <w:rFonts w:ascii="Garamond" w:hAnsi="Garamond"/>
          <w:sz w:val="22"/>
          <w:szCs w:val="22"/>
        </w:rPr>
      </w:pPr>
    </w:p>
    <w:sectPr w:rsidR="00CF026D" w:rsidRPr="00CF026D" w:rsidSect="000A2C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05E"/>
    <w:multiLevelType w:val="hybridMultilevel"/>
    <w:tmpl w:val="EDAA1B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4F55"/>
    <w:multiLevelType w:val="hybridMultilevel"/>
    <w:tmpl w:val="427A9B60"/>
    <w:lvl w:ilvl="0" w:tplc="F4E4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A08A1"/>
    <w:multiLevelType w:val="hybridMultilevel"/>
    <w:tmpl w:val="6FD24AD4"/>
    <w:lvl w:ilvl="0" w:tplc="733070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91638"/>
    <w:multiLevelType w:val="hybridMultilevel"/>
    <w:tmpl w:val="9438CC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214D8"/>
    <w:multiLevelType w:val="hybridMultilevel"/>
    <w:tmpl w:val="F67A6E14"/>
    <w:lvl w:ilvl="0" w:tplc="A7DC34E0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A0117"/>
    <w:multiLevelType w:val="hybridMultilevel"/>
    <w:tmpl w:val="DFAC454A"/>
    <w:lvl w:ilvl="0" w:tplc="583EAC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C416E"/>
    <w:multiLevelType w:val="hybridMultilevel"/>
    <w:tmpl w:val="9DA8E5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415E7"/>
    <w:multiLevelType w:val="hybridMultilevel"/>
    <w:tmpl w:val="9BE076F8"/>
    <w:lvl w:ilvl="0" w:tplc="B83A10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6D"/>
    <w:rsid w:val="000A2CAA"/>
    <w:rsid w:val="00314057"/>
    <w:rsid w:val="009D31B5"/>
    <w:rsid w:val="00C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467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F02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4044</Characters>
  <Application>Microsoft Macintosh Word</Application>
  <DocSecurity>0</DocSecurity>
  <Lines>33</Lines>
  <Paragraphs>9</Paragraphs>
  <ScaleCrop>false</ScaleCrop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cp:lastPrinted>2019-12-06T14:33:00Z</cp:lastPrinted>
  <dcterms:created xsi:type="dcterms:W3CDTF">2019-12-05T17:02:00Z</dcterms:created>
  <dcterms:modified xsi:type="dcterms:W3CDTF">2019-12-10T13:12:00Z</dcterms:modified>
</cp:coreProperties>
</file>