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A66ED" w14:textId="77777777" w:rsidR="008A3457" w:rsidRPr="00E96C5F" w:rsidRDefault="00E96C5F" w:rsidP="00537820">
      <w:pPr>
        <w:jc w:val="center"/>
        <w:rPr>
          <w:rFonts w:ascii="Garamond" w:hAnsi="Garamond"/>
          <w:b/>
        </w:rPr>
      </w:pPr>
      <w:r w:rsidRPr="00E96C5F">
        <w:rPr>
          <w:rFonts w:ascii="Garamond" w:hAnsi="Garamond"/>
          <w:b/>
        </w:rPr>
        <w:t>Le contenu (I) – DGO JURISPERFORM</w:t>
      </w:r>
    </w:p>
    <w:p w14:paraId="104B5DB4" w14:textId="77777777" w:rsidR="00E96C5F" w:rsidRPr="00E96C5F" w:rsidRDefault="00E96C5F" w:rsidP="00B07598">
      <w:pPr>
        <w:jc w:val="both"/>
        <w:rPr>
          <w:rFonts w:ascii="Garamond" w:hAnsi="Garamond"/>
        </w:rPr>
      </w:pPr>
    </w:p>
    <w:p w14:paraId="3656806F" w14:textId="77777777" w:rsidR="00E96C5F" w:rsidRDefault="00E96C5F" w:rsidP="00B07598">
      <w:pPr>
        <w:jc w:val="both"/>
        <w:rPr>
          <w:rFonts w:ascii="Garamond" w:hAnsi="Garamond"/>
        </w:rPr>
      </w:pPr>
    </w:p>
    <w:p w14:paraId="2F89E516" w14:textId="77777777" w:rsidR="00E96C5F" w:rsidRDefault="00E96C5F" w:rsidP="00B07598">
      <w:pPr>
        <w:jc w:val="both"/>
        <w:rPr>
          <w:rFonts w:ascii="Garamond" w:hAnsi="Garamond"/>
        </w:rPr>
      </w:pPr>
      <w:r>
        <w:rPr>
          <w:rFonts w:ascii="Garamond" w:hAnsi="Garamond"/>
          <w:u w:val="single"/>
        </w:rPr>
        <w:t>Faits matériels</w:t>
      </w:r>
      <w:r>
        <w:rPr>
          <w:rFonts w:ascii="Garamond" w:hAnsi="Garamond"/>
        </w:rPr>
        <w:t xml:space="preserve"> : X, Y, Z </w:t>
      </w:r>
      <w:proofErr w:type="spellStart"/>
      <w:r>
        <w:rPr>
          <w:rFonts w:ascii="Garamond" w:hAnsi="Garamond"/>
        </w:rPr>
        <w:t>asso</w:t>
      </w:r>
      <w:proofErr w:type="spellEnd"/>
      <w:r>
        <w:rPr>
          <w:rFonts w:ascii="Garamond" w:hAnsi="Garamond"/>
        </w:rPr>
        <w:t xml:space="preserve"> fondateurs de </w:t>
      </w:r>
      <w:proofErr w:type="spellStart"/>
      <w:r>
        <w:rPr>
          <w:rFonts w:ascii="Garamond" w:hAnsi="Garamond"/>
        </w:rPr>
        <w:t>Tleta</w:t>
      </w:r>
      <w:proofErr w:type="spellEnd"/>
      <w:r>
        <w:rPr>
          <w:rFonts w:ascii="Garamond" w:hAnsi="Garamond"/>
        </w:rPr>
        <w:t xml:space="preserve"> devenue société </w:t>
      </w:r>
      <w:proofErr w:type="spellStart"/>
      <w:r>
        <w:rPr>
          <w:rFonts w:ascii="Garamond" w:hAnsi="Garamond"/>
        </w:rPr>
        <w:t>Atir</w:t>
      </w:r>
      <w:proofErr w:type="spellEnd"/>
      <w:r>
        <w:rPr>
          <w:rFonts w:ascii="Garamond" w:hAnsi="Garamond"/>
        </w:rPr>
        <w:t xml:space="preserve"> rail (la société) – espèrent participation </w:t>
      </w:r>
      <w:proofErr w:type="gramStart"/>
      <w:r>
        <w:rPr>
          <w:rFonts w:ascii="Garamond" w:hAnsi="Garamond"/>
        </w:rPr>
        <w:t>de A</w:t>
      </w:r>
      <w:proofErr w:type="gramEnd"/>
      <w:r>
        <w:rPr>
          <w:rFonts w:ascii="Garamond" w:hAnsi="Garamond"/>
        </w:rPr>
        <w:t xml:space="preserve"> à leur projet de développement de société </w:t>
      </w:r>
    </w:p>
    <w:p w14:paraId="582650C3" w14:textId="77777777" w:rsidR="00E96C5F" w:rsidRDefault="00E96C5F" w:rsidP="00B07598">
      <w:pPr>
        <w:pStyle w:val="Pardeliste"/>
        <w:numPr>
          <w:ilvl w:val="0"/>
          <w:numId w:val="1"/>
        </w:numPr>
        <w:jc w:val="both"/>
        <w:rPr>
          <w:rFonts w:ascii="Garamond" w:hAnsi="Garamond"/>
        </w:rPr>
      </w:pPr>
      <w:r>
        <w:rPr>
          <w:rFonts w:ascii="Garamond" w:hAnsi="Garamond"/>
        </w:rPr>
        <w:t xml:space="preserve">14 février 2003 : accord-cadre conclu entre les </w:t>
      </w:r>
      <w:proofErr w:type="spellStart"/>
      <w:r>
        <w:rPr>
          <w:rFonts w:ascii="Garamond" w:hAnsi="Garamond"/>
        </w:rPr>
        <w:t>asso</w:t>
      </w:r>
      <w:proofErr w:type="spellEnd"/>
      <w:r>
        <w:rPr>
          <w:rFonts w:ascii="Garamond" w:hAnsi="Garamond"/>
        </w:rPr>
        <w:t xml:space="preserve"> &amp; M.A : chaque </w:t>
      </w:r>
      <w:proofErr w:type="spellStart"/>
      <w:r>
        <w:rPr>
          <w:rFonts w:ascii="Garamond" w:hAnsi="Garamond"/>
        </w:rPr>
        <w:t>asso</w:t>
      </w:r>
      <w:proofErr w:type="spellEnd"/>
      <w:r>
        <w:rPr>
          <w:rFonts w:ascii="Garamond" w:hAnsi="Garamond"/>
        </w:rPr>
        <w:t xml:space="preserve"> préexistant s’engage à céder 5% du K de la société à A – prix en contrepartie « forfaitaire et symbolique » de 500€ - A s’engageait alors pour au moins 5 ans à apporter sa force de travail à la </w:t>
      </w:r>
      <w:proofErr w:type="spellStart"/>
      <w:r>
        <w:rPr>
          <w:rFonts w:ascii="Garamond" w:hAnsi="Garamond"/>
        </w:rPr>
        <w:t>socitété</w:t>
      </w:r>
      <w:proofErr w:type="spellEnd"/>
    </w:p>
    <w:p w14:paraId="50F52587" w14:textId="77777777" w:rsidR="00E96C5F" w:rsidRDefault="00E96C5F" w:rsidP="00B07598">
      <w:pPr>
        <w:pStyle w:val="Pardeliste"/>
        <w:numPr>
          <w:ilvl w:val="0"/>
          <w:numId w:val="1"/>
        </w:numPr>
        <w:jc w:val="both"/>
        <w:rPr>
          <w:rFonts w:ascii="Garamond" w:hAnsi="Garamond"/>
        </w:rPr>
      </w:pPr>
      <w:r>
        <w:rPr>
          <w:rFonts w:ascii="Garamond" w:hAnsi="Garamond"/>
        </w:rPr>
        <w:t>5 mars 2003 : trois actes de cession signés conformément à l’accord cadre</w:t>
      </w:r>
    </w:p>
    <w:p w14:paraId="67AD79F7" w14:textId="77777777" w:rsidR="00E96C5F" w:rsidRDefault="00E96C5F" w:rsidP="00B07598">
      <w:pPr>
        <w:pStyle w:val="Pardeliste"/>
        <w:numPr>
          <w:ilvl w:val="0"/>
          <w:numId w:val="1"/>
        </w:numPr>
        <w:jc w:val="both"/>
        <w:rPr>
          <w:rFonts w:ascii="Garamond" w:hAnsi="Garamond"/>
        </w:rPr>
      </w:pPr>
      <w:r>
        <w:rPr>
          <w:rFonts w:ascii="Garamond" w:hAnsi="Garamond"/>
        </w:rPr>
        <w:t xml:space="preserve">31 mars 2003 : société engage A en qualité de </w:t>
      </w:r>
      <w:proofErr w:type="spellStart"/>
      <w:r>
        <w:rPr>
          <w:rFonts w:ascii="Garamond" w:hAnsi="Garamond"/>
        </w:rPr>
        <w:t>dir</w:t>
      </w:r>
      <w:proofErr w:type="spellEnd"/>
      <w:r>
        <w:rPr>
          <w:rFonts w:ascii="Garamond" w:hAnsi="Garamond"/>
        </w:rPr>
        <w:t xml:space="preserve"> </w:t>
      </w:r>
      <w:proofErr w:type="spellStart"/>
      <w:r>
        <w:rPr>
          <w:rFonts w:ascii="Garamond" w:hAnsi="Garamond"/>
        </w:rPr>
        <w:t>co</w:t>
      </w:r>
      <w:proofErr w:type="spellEnd"/>
    </w:p>
    <w:p w14:paraId="052CF557" w14:textId="77777777" w:rsidR="00E96C5F" w:rsidRDefault="00E96C5F" w:rsidP="00B07598">
      <w:pPr>
        <w:jc w:val="both"/>
        <w:rPr>
          <w:rFonts w:ascii="Garamond" w:hAnsi="Garamond"/>
        </w:rPr>
      </w:pPr>
    </w:p>
    <w:p w14:paraId="28CCC0B5" w14:textId="77777777" w:rsidR="00E96C5F" w:rsidRPr="00E96C5F" w:rsidRDefault="00E96C5F" w:rsidP="00B07598">
      <w:pPr>
        <w:jc w:val="both"/>
        <w:rPr>
          <w:rFonts w:ascii="Garamond" w:hAnsi="Garamond"/>
          <w:u w:val="single"/>
        </w:rPr>
      </w:pPr>
      <w:r w:rsidRPr="00E96C5F">
        <w:rPr>
          <w:rFonts w:ascii="Garamond" w:hAnsi="Garamond"/>
          <w:u w:val="single"/>
        </w:rPr>
        <w:t xml:space="preserve">Faits judicaires : </w:t>
      </w:r>
    </w:p>
    <w:p w14:paraId="520998C6" w14:textId="77777777" w:rsidR="00E96C5F" w:rsidRDefault="00E96C5F" w:rsidP="00B07598">
      <w:pPr>
        <w:pStyle w:val="Pardeliste"/>
        <w:numPr>
          <w:ilvl w:val="0"/>
          <w:numId w:val="1"/>
        </w:numPr>
        <w:jc w:val="both"/>
        <w:rPr>
          <w:rFonts w:ascii="Garamond" w:hAnsi="Garamond"/>
        </w:rPr>
      </w:pPr>
      <w:r w:rsidRPr="00E96C5F">
        <w:rPr>
          <w:rFonts w:ascii="Garamond" w:hAnsi="Garamond"/>
        </w:rPr>
        <w:t xml:space="preserve">17 mars 2010 : X Y Z </w:t>
      </w:r>
      <w:r>
        <w:rPr>
          <w:rFonts w:ascii="Garamond" w:hAnsi="Garamond"/>
        </w:rPr>
        <w:t xml:space="preserve">assignent A en nullité des cessions pour indétermination du prix ou à défaut, pour vileté du prix ou résolution du fait de l’inexécution </w:t>
      </w:r>
    </w:p>
    <w:p w14:paraId="5536C689" w14:textId="77777777" w:rsidR="00E96C5F" w:rsidRDefault="00E96C5F" w:rsidP="00B07598">
      <w:pPr>
        <w:pStyle w:val="Pardeliste"/>
        <w:numPr>
          <w:ilvl w:val="0"/>
          <w:numId w:val="1"/>
        </w:numPr>
        <w:jc w:val="both"/>
        <w:rPr>
          <w:rFonts w:ascii="Garamond" w:hAnsi="Garamond"/>
        </w:rPr>
      </w:pPr>
      <w:r>
        <w:rPr>
          <w:rFonts w:ascii="Garamond" w:hAnsi="Garamond"/>
        </w:rPr>
        <w:t xml:space="preserve">M.A soulève prescription de l’action en nullité – demande reconventionnelle de DI </w:t>
      </w:r>
    </w:p>
    <w:p w14:paraId="316B511C" w14:textId="77777777" w:rsidR="00E96C5F" w:rsidRDefault="00E96C5F" w:rsidP="00B07598">
      <w:pPr>
        <w:pStyle w:val="Pardeliste"/>
        <w:numPr>
          <w:ilvl w:val="0"/>
          <w:numId w:val="1"/>
        </w:numPr>
        <w:jc w:val="both"/>
        <w:rPr>
          <w:rFonts w:ascii="Garamond" w:hAnsi="Garamond"/>
        </w:rPr>
      </w:pPr>
      <w:proofErr w:type="gramStart"/>
      <w:r>
        <w:rPr>
          <w:rFonts w:ascii="Garamond" w:hAnsi="Garamond"/>
        </w:rPr>
        <w:t>CA Versailles</w:t>
      </w:r>
      <w:proofErr w:type="gramEnd"/>
      <w:r>
        <w:rPr>
          <w:rFonts w:ascii="Garamond" w:hAnsi="Garamond"/>
        </w:rPr>
        <w:t>, 21 janvier 2014 : fait droit à la demande reconventionnelle de M.A et déboute X Y Z</w:t>
      </w:r>
    </w:p>
    <w:p w14:paraId="7D1362C1" w14:textId="77777777" w:rsidR="00E96C5F" w:rsidRDefault="00E96C5F" w:rsidP="00B07598">
      <w:pPr>
        <w:pStyle w:val="Pardeliste"/>
        <w:numPr>
          <w:ilvl w:val="0"/>
          <w:numId w:val="1"/>
        </w:numPr>
        <w:jc w:val="both"/>
        <w:rPr>
          <w:rFonts w:ascii="Garamond" w:hAnsi="Garamond"/>
        </w:rPr>
      </w:pPr>
      <w:r>
        <w:rPr>
          <w:rFonts w:ascii="Garamond" w:hAnsi="Garamond"/>
        </w:rPr>
        <w:t xml:space="preserve">Ces derniers forment un pourvoi </w:t>
      </w:r>
    </w:p>
    <w:p w14:paraId="6BC0802B" w14:textId="77777777" w:rsidR="00E96C5F" w:rsidRDefault="00E96C5F" w:rsidP="00B07598">
      <w:pPr>
        <w:pStyle w:val="Pardeliste"/>
        <w:numPr>
          <w:ilvl w:val="0"/>
          <w:numId w:val="1"/>
        </w:numPr>
        <w:jc w:val="both"/>
        <w:rPr>
          <w:rFonts w:ascii="Garamond" w:hAnsi="Garamond"/>
        </w:rPr>
      </w:pPr>
      <w:r>
        <w:rPr>
          <w:rFonts w:ascii="Garamond" w:hAnsi="Garamond"/>
        </w:rPr>
        <w:t xml:space="preserve">Com. 22 mars 2016 : rejette le pourvoi </w:t>
      </w:r>
    </w:p>
    <w:p w14:paraId="5301EDC7" w14:textId="77777777" w:rsidR="00E96C5F" w:rsidRDefault="00E96C5F" w:rsidP="00B07598">
      <w:pPr>
        <w:jc w:val="both"/>
        <w:rPr>
          <w:rFonts w:ascii="Garamond" w:hAnsi="Garamond"/>
        </w:rPr>
      </w:pPr>
    </w:p>
    <w:p w14:paraId="0C0BC463" w14:textId="77777777" w:rsidR="00E96C5F" w:rsidRDefault="00E96C5F" w:rsidP="00B07598">
      <w:pPr>
        <w:jc w:val="both"/>
        <w:rPr>
          <w:rFonts w:ascii="Garamond" w:hAnsi="Garamond"/>
        </w:rPr>
      </w:pPr>
      <w:r>
        <w:rPr>
          <w:rFonts w:ascii="Garamond" w:hAnsi="Garamond"/>
        </w:rPr>
        <w:t xml:space="preserve">Décision CA : </w:t>
      </w:r>
    </w:p>
    <w:p w14:paraId="3A79BC51" w14:textId="77777777" w:rsidR="00E96C5F" w:rsidRDefault="00E96C5F" w:rsidP="00B07598">
      <w:pPr>
        <w:pStyle w:val="Pardeliste"/>
        <w:numPr>
          <w:ilvl w:val="0"/>
          <w:numId w:val="1"/>
        </w:numPr>
        <w:jc w:val="both"/>
        <w:rPr>
          <w:rFonts w:ascii="Garamond" w:hAnsi="Garamond"/>
        </w:rPr>
      </w:pPr>
      <w:r>
        <w:rPr>
          <w:rFonts w:ascii="Garamond" w:hAnsi="Garamond"/>
        </w:rPr>
        <w:t xml:space="preserve">Action en nullité effectivement prescrite </w:t>
      </w:r>
      <w:r w:rsidR="00350124">
        <w:rPr>
          <w:rFonts w:ascii="Garamond" w:hAnsi="Garamond"/>
        </w:rPr>
        <w:t xml:space="preserve">car délai de 5 ans (NR concernant l’action pour indétermination du </w:t>
      </w:r>
      <w:proofErr w:type="gramStart"/>
      <w:r w:rsidR="00350124">
        <w:rPr>
          <w:rFonts w:ascii="Garamond" w:hAnsi="Garamond"/>
        </w:rPr>
        <w:t>prix )</w:t>
      </w:r>
      <w:proofErr w:type="gramEnd"/>
    </w:p>
    <w:p w14:paraId="6B3A4BA9" w14:textId="77777777" w:rsidR="00E96C5F" w:rsidRDefault="00E96C5F" w:rsidP="00B07598">
      <w:pPr>
        <w:jc w:val="both"/>
        <w:rPr>
          <w:rFonts w:ascii="Garamond" w:hAnsi="Garamond"/>
        </w:rPr>
      </w:pPr>
    </w:p>
    <w:p w14:paraId="3675833D" w14:textId="77777777" w:rsidR="00E96C5F" w:rsidRDefault="00E96C5F" w:rsidP="00B07598">
      <w:pPr>
        <w:jc w:val="both"/>
        <w:rPr>
          <w:rFonts w:ascii="Garamond" w:hAnsi="Garamond"/>
        </w:rPr>
      </w:pPr>
      <w:r>
        <w:rPr>
          <w:rFonts w:ascii="Garamond" w:hAnsi="Garamond"/>
        </w:rPr>
        <w:t>Motifs du pourvoi :</w:t>
      </w:r>
    </w:p>
    <w:p w14:paraId="553883EA" w14:textId="77777777" w:rsidR="00E96C5F" w:rsidRDefault="00E96C5F" w:rsidP="00B07598">
      <w:pPr>
        <w:pStyle w:val="Pardeliste"/>
        <w:numPr>
          <w:ilvl w:val="0"/>
          <w:numId w:val="1"/>
        </w:numPr>
        <w:jc w:val="both"/>
        <w:rPr>
          <w:rFonts w:ascii="Garamond" w:hAnsi="Garamond"/>
        </w:rPr>
      </w:pPr>
      <w:r>
        <w:rPr>
          <w:rFonts w:ascii="Garamond" w:hAnsi="Garamond"/>
        </w:rPr>
        <w:t xml:space="preserve">Vente consentie sans prix ou sans prix sérieux = nullité car manque d’un élément essentiel </w:t>
      </w:r>
      <w:r w:rsidRPr="00E96C5F">
        <w:rPr>
          <w:rFonts w:ascii="Garamond" w:hAnsi="Garamond"/>
        </w:rPr>
        <w:sym w:font="Wingdings" w:char="F0E8"/>
      </w:r>
      <w:r>
        <w:rPr>
          <w:rFonts w:ascii="Garamond" w:hAnsi="Garamond"/>
        </w:rPr>
        <w:t xml:space="preserve"> nullité absolue – à l’époque de l’acte prescription trentenaire</w:t>
      </w:r>
      <w:r w:rsidR="00350124">
        <w:rPr>
          <w:rFonts w:ascii="Garamond" w:hAnsi="Garamond"/>
        </w:rPr>
        <w:t> : 1591 et 2262 (anciens) (</w:t>
      </w:r>
      <w:proofErr w:type="spellStart"/>
      <w:r w:rsidR="00350124">
        <w:rPr>
          <w:rFonts w:ascii="Garamond" w:hAnsi="Garamond"/>
        </w:rPr>
        <w:t>cf</w:t>
      </w:r>
      <w:proofErr w:type="spellEnd"/>
      <w:r w:rsidR="00350124">
        <w:rPr>
          <w:rFonts w:ascii="Garamond" w:hAnsi="Garamond"/>
        </w:rPr>
        <w:t xml:space="preserve"> civ 1</w:t>
      </w:r>
      <w:r w:rsidR="00350124" w:rsidRPr="00350124">
        <w:rPr>
          <w:rFonts w:ascii="Garamond" w:hAnsi="Garamond"/>
          <w:vertAlign w:val="superscript"/>
        </w:rPr>
        <w:t>ère</w:t>
      </w:r>
      <w:r w:rsidR="00350124">
        <w:rPr>
          <w:rFonts w:ascii="Garamond" w:hAnsi="Garamond"/>
        </w:rPr>
        <w:t xml:space="preserve"> 24 mars 1993 pour vente consentie à vil prix : NA ; com.23 octobre 2007 pour défaut de prix sérieux : NA) </w:t>
      </w:r>
    </w:p>
    <w:p w14:paraId="74299028" w14:textId="77777777" w:rsidR="00350124" w:rsidRDefault="00350124" w:rsidP="00B07598">
      <w:pPr>
        <w:jc w:val="both"/>
        <w:rPr>
          <w:rFonts w:ascii="Garamond" w:hAnsi="Garamond"/>
        </w:rPr>
      </w:pPr>
    </w:p>
    <w:p w14:paraId="798C3ACD" w14:textId="77777777" w:rsidR="00350124" w:rsidRDefault="00350124" w:rsidP="00B07598">
      <w:pPr>
        <w:jc w:val="both"/>
        <w:rPr>
          <w:rFonts w:ascii="Garamond" w:hAnsi="Garamond"/>
        </w:rPr>
      </w:pPr>
      <w:r>
        <w:rPr>
          <w:rFonts w:ascii="Garamond" w:hAnsi="Garamond"/>
        </w:rPr>
        <w:t xml:space="preserve">MAIS SOLUTION JURISPRUDENTIELLE DÉFINITIVE : </w:t>
      </w:r>
    </w:p>
    <w:p w14:paraId="13B8B673" w14:textId="77777777" w:rsidR="00350124" w:rsidRDefault="00350124" w:rsidP="00B07598">
      <w:pPr>
        <w:jc w:val="both"/>
        <w:rPr>
          <w:rFonts w:ascii="Garamond" w:hAnsi="Garamond"/>
        </w:rPr>
      </w:pPr>
      <w:proofErr w:type="spellStart"/>
      <w:r>
        <w:rPr>
          <w:rFonts w:ascii="Garamond" w:hAnsi="Garamond"/>
        </w:rPr>
        <w:t>Civ</w:t>
      </w:r>
      <w:proofErr w:type="spellEnd"/>
      <w:r>
        <w:rPr>
          <w:rFonts w:ascii="Garamond" w:hAnsi="Garamond"/>
        </w:rPr>
        <w:t>. 3</w:t>
      </w:r>
      <w:r w:rsidRPr="00350124">
        <w:rPr>
          <w:rFonts w:ascii="Garamond" w:hAnsi="Garamond"/>
          <w:vertAlign w:val="superscript"/>
        </w:rPr>
        <w:t>ème</w:t>
      </w:r>
      <w:r>
        <w:rPr>
          <w:rFonts w:ascii="Garamond" w:hAnsi="Garamond"/>
        </w:rPr>
        <w:t xml:space="preserve">, 24 octobre 2012 : prix dérisoire ou vil = contrat nul pour absence de cause </w:t>
      </w:r>
      <w:r w:rsidRPr="00350124">
        <w:rPr>
          <w:rFonts w:ascii="Garamond" w:hAnsi="Garamond"/>
        </w:rPr>
        <w:sym w:font="Wingdings" w:char="F0E8"/>
      </w:r>
      <w:r>
        <w:rPr>
          <w:rFonts w:ascii="Garamond" w:hAnsi="Garamond"/>
        </w:rPr>
        <w:t xml:space="preserve"> NR car intérêt privé du vendeur </w:t>
      </w:r>
      <w:r w:rsidRPr="00350124">
        <w:rPr>
          <w:rFonts w:ascii="Garamond" w:hAnsi="Garamond"/>
        </w:rPr>
        <w:sym w:font="Wingdings" w:char="F0E8"/>
      </w:r>
      <w:r>
        <w:rPr>
          <w:rFonts w:ascii="Garamond" w:hAnsi="Garamond"/>
        </w:rPr>
        <w:t xml:space="preserve"> délai de prescription de 5 ans </w:t>
      </w:r>
    </w:p>
    <w:p w14:paraId="303C0384" w14:textId="77777777" w:rsidR="00350124" w:rsidRDefault="00350124" w:rsidP="00B07598">
      <w:pPr>
        <w:jc w:val="both"/>
        <w:rPr>
          <w:rFonts w:ascii="Garamond" w:hAnsi="Garamond"/>
        </w:rPr>
      </w:pPr>
      <w:proofErr w:type="spellStart"/>
      <w:r>
        <w:rPr>
          <w:rFonts w:ascii="Garamond" w:hAnsi="Garamond"/>
        </w:rPr>
        <w:t>Civ</w:t>
      </w:r>
      <w:proofErr w:type="spellEnd"/>
      <w:r>
        <w:rPr>
          <w:rFonts w:ascii="Garamond" w:hAnsi="Garamond"/>
        </w:rPr>
        <w:t>. 1</w:t>
      </w:r>
      <w:r w:rsidRPr="00350124">
        <w:rPr>
          <w:rFonts w:ascii="Garamond" w:hAnsi="Garamond"/>
          <w:vertAlign w:val="superscript"/>
        </w:rPr>
        <w:t>ère</w:t>
      </w:r>
      <w:r>
        <w:rPr>
          <w:rFonts w:ascii="Garamond" w:hAnsi="Garamond"/>
        </w:rPr>
        <w:t xml:space="preserve"> 29 septembre 2004 : nullité du contrat pour défaut de cause = NR également </w:t>
      </w:r>
    </w:p>
    <w:p w14:paraId="095F991A" w14:textId="77777777" w:rsidR="00350124" w:rsidRDefault="00350124" w:rsidP="00B07598">
      <w:pPr>
        <w:jc w:val="both"/>
        <w:rPr>
          <w:rFonts w:ascii="Garamond" w:hAnsi="Garamond"/>
        </w:rPr>
      </w:pPr>
    </w:p>
    <w:p w14:paraId="33812C20" w14:textId="77777777" w:rsidR="00350124" w:rsidRDefault="00350124" w:rsidP="00B07598">
      <w:pPr>
        <w:jc w:val="both"/>
        <w:rPr>
          <w:rFonts w:ascii="Garamond" w:hAnsi="Garamond"/>
        </w:rPr>
      </w:pPr>
      <w:r>
        <w:rPr>
          <w:rFonts w:ascii="Garamond" w:hAnsi="Garamond"/>
        </w:rPr>
        <w:t xml:space="preserve">EN L’ESPÈCE LA COUR ADMET QUE : </w:t>
      </w:r>
    </w:p>
    <w:p w14:paraId="7D868B82" w14:textId="77777777" w:rsidR="00350124" w:rsidRDefault="00350124" w:rsidP="00B07598">
      <w:pPr>
        <w:jc w:val="both"/>
        <w:rPr>
          <w:rFonts w:ascii="Garamond" w:hAnsi="Garamond"/>
          <w:b/>
          <w:i/>
        </w:rPr>
      </w:pPr>
      <w:r>
        <w:rPr>
          <w:rFonts w:ascii="Garamond" w:hAnsi="Garamond"/>
        </w:rPr>
        <w:t>« </w:t>
      </w:r>
      <w:proofErr w:type="gramStart"/>
      <w:r>
        <w:rPr>
          <w:rFonts w:ascii="Garamond" w:hAnsi="Garamond"/>
          <w:i/>
        </w:rPr>
        <w:t>ce</w:t>
      </w:r>
      <w:proofErr w:type="gramEnd"/>
      <w:r>
        <w:rPr>
          <w:rFonts w:ascii="Garamond" w:hAnsi="Garamond"/>
          <w:i/>
        </w:rPr>
        <w:t xml:space="preserve"> n’est pas en fonction de l’existence ou de l’absence d’un élément essentiel du contrat au jour de sa formation, mais au regard de la nature de l’intérêt, privé ou général, protégé par la règle transgressée qu’il convient de déterminer le régime de nullité applicable » - </w:t>
      </w:r>
      <w:r>
        <w:rPr>
          <w:rFonts w:ascii="Garamond" w:hAnsi="Garamond"/>
          <w:b/>
          <w:i/>
        </w:rPr>
        <w:t>I</w:t>
      </w:r>
    </w:p>
    <w:p w14:paraId="2DA2E9CC" w14:textId="77777777" w:rsidR="00350124" w:rsidRDefault="00350124" w:rsidP="00B07598">
      <w:pPr>
        <w:jc w:val="both"/>
        <w:rPr>
          <w:rFonts w:ascii="Garamond" w:hAnsi="Garamond"/>
          <w:b/>
          <w:i/>
        </w:rPr>
      </w:pPr>
      <w:r>
        <w:rPr>
          <w:rFonts w:ascii="Garamond" w:hAnsi="Garamond"/>
          <w:i/>
        </w:rPr>
        <w:t>« En l’espèce, l’action en nullité des cessions de parts conclu pour un prix indéterminé ou vil ne tendait qu’a la protection des intérêts privés des cédants »</w:t>
      </w:r>
      <w:r>
        <w:rPr>
          <w:rFonts w:ascii="Garamond" w:hAnsi="Garamond"/>
        </w:rPr>
        <w:t xml:space="preserve"> </w:t>
      </w:r>
      <w:r>
        <w:rPr>
          <w:rFonts w:ascii="Garamond" w:hAnsi="Garamond"/>
          <w:b/>
          <w:i/>
        </w:rPr>
        <w:t>- II</w:t>
      </w:r>
    </w:p>
    <w:p w14:paraId="5DEFFC6B" w14:textId="77777777" w:rsidR="00350124" w:rsidRDefault="00350124" w:rsidP="00B07598">
      <w:pPr>
        <w:jc w:val="both"/>
        <w:rPr>
          <w:rFonts w:ascii="Garamond" w:hAnsi="Garamond"/>
        </w:rPr>
      </w:pPr>
      <w:r>
        <w:rPr>
          <w:rFonts w:ascii="Garamond" w:hAnsi="Garamond"/>
        </w:rPr>
        <w:t>(</w:t>
      </w:r>
      <w:proofErr w:type="gramStart"/>
      <w:r>
        <w:rPr>
          <w:rFonts w:ascii="Garamond" w:hAnsi="Garamond"/>
        </w:rPr>
        <w:t>art</w:t>
      </w:r>
      <w:proofErr w:type="gramEnd"/>
      <w:r>
        <w:rPr>
          <w:rFonts w:ascii="Garamond" w:hAnsi="Garamond"/>
        </w:rPr>
        <w:t xml:space="preserve"> 1304 appliqué)</w:t>
      </w:r>
    </w:p>
    <w:p w14:paraId="5AB36F62" w14:textId="77777777" w:rsidR="00350124" w:rsidRDefault="00350124" w:rsidP="00B07598">
      <w:pPr>
        <w:jc w:val="both"/>
        <w:rPr>
          <w:rFonts w:ascii="Garamond" w:hAnsi="Garamond"/>
        </w:rPr>
      </w:pPr>
    </w:p>
    <w:p w14:paraId="55202CCE" w14:textId="77777777" w:rsidR="00201BCA" w:rsidRDefault="00201BCA" w:rsidP="00B07598">
      <w:pPr>
        <w:jc w:val="both"/>
        <w:rPr>
          <w:rFonts w:ascii="Garamond" w:hAnsi="Garamond"/>
        </w:rPr>
      </w:pPr>
    </w:p>
    <w:p w14:paraId="4E63AE9B" w14:textId="7511202D" w:rsidR="00201BCA" w:rsidRPr="00B07598" w:rsidRDefault="00201BCA" w:rsidP="00B07598">
      <w:pPr>
        <w:jc w:val="both"/>
        <w:rPr>
          <w:rFonts w:ascii="Garamond" w:hAnsi="Garamond"/>
          <w:b/>
          <w:u w:val="single"/>
        </w:rPr>
      </w:pPr>
      <w:r w:rsidRPr="00B07598">
        <w:rPr>
          <w:rFonts w:ascii="Garamond" w:hAnsi="Garamond"/>
          <w:b/>
          <w:u w:val="single"/>
        </w:rPr>
        <w:t>I –</w:t>
      </w:r>
      <w:r w:rsidR="004E72BC" w:rsidRPr="00B07598">
        <w:rPr>
          <w:rFonts w:ascii="Garamond" w:hAnsi="Garamond"/>
          <w:b/>
          <w:u w:val="single"/>
        </w:rPr>
        <w:t xml:space="preserve"> Le rappel didactique </w:t>
      </w:r>
      <w:r w:rsidRPr="00B07598">
        <w:rPr>
          <w:rFonts w:ascii="Garamond" w:hAnsi="Garamond"/>
          <w:b/>
          <w:u w:val="single"/>
        </w:rPr>
        <w:t xml:space="preserve">de la détermination du régime de nullité </w:t>
      </w:r>
    </w:p>
    <w:p w14:paraId="316494C2" w14:textId="77777777" w:rsidR="00201BCA" w:rsidRDefault="00201BCA" w:rsidP="00B07598">
      <w:pPr>
        <w:jc w:val="both"/>
        <w:rPr>
          <w:rFonts w:ascii="Garamond" w:hAnsi="Garamond"/>
        </w:rPr>
      </w:pPr>
    </w:p>
    <w:p w14:paraId="28A05934" w14:textId="1284B374" w:rsidR="00201BCA" w:rsidRPr="00B07598" w:rsidRDefault="002B2C7C" w:rsidP="00B07598">
      <w:pPr>
        <w:pStyle w:val="Pardeliste"/>
        <w:numPr>
          <w:ilvl w:val="0"/>
          <w:numId w:val="2"/>
        </w:numPr>
        <w:jc w:val="both"/>
        <w:rPr>
          <w:rFonts w:ascii="Garamond" w:hAnsi="Garamond"/>
          <w:b/>
        </w:rPr>
      </w:pPr>
      <w:r>
        <w:rPr>
          <w:rFonts w:ascii="Garamond" w:hAnsi="Garamond"/>
          <w:b/>
        </w:rPr>
        <w:t>La présentation des</w:t>
      </w:r>
      <w:r w:rsidR="007F657E">
        <w:rPr>
          <w:rFonts w:ascii="Garamond" w:hAnsi="Garamond"/>
          <w:b/>
        </w:rPr>
        <w:t xml:space="preserve"> théorie</w:t>
      </w:r>
      <w:r>
        <w:rPr>
          <w:rFonts w:ascii="Garamond" w:hAnsi="Garamond"/>
          <w:b/>
        </w:rPr>
        <w:t>s</w:t>
      </w:r>
      <w:r w:rsidR="007F657E">
        <w:rPr>
          <w:rFonts w:ascii="Garamond" w:hAnsi="Garamond"/>
          <w:b/>
        </w:rPr>
        <w:t xml:space="preserve"> des</w:t>
      </w:r>
      <w:r w:rsidR="00201BCA" w:rsidRPr="00B07598">
        <w:rPr>
          <w:rFonts w:ascii="Garamond" w:hAnsi="Garamond"/>
          <w:b/>
        </w:rPr>
        <w:t xml:space="preserve"> régimes de nullité</w:t>
      </w:r>
    </w:p>
    <w:p w14:paraId="2C68CD8C" w14:textId="77777777" w:rsidR="00201BCA" w:rsidRDefault="00201BCA" w:rsidP="00B07598">
      <w:pPr>
        <w:jc w:val="both"/>
        <w:rPr>
          <w:rFonts w:ascii="Garamond" w:hAnsi="Garamond"/>
        </w:rPr>
      </w:pPr>
    </w:p>
    <w:p w14:paraId="6BFE4C96" w14:textId="4700D53A" w:rsidR="00C1490D" w:rsidRDefault="00C1490D" w:rsidP="00B07598">
      <w:pPr>
        <w:jc w:val="both"/>
        <w:rPr>
          <w:rFonts w:ascii="Garamond" w:hAnsi="Garamond"/>
        </w:rPr>
      </w:pPr>
      <w:r>
        <w:rPr>
          <w:rFonts w:ascii="Garamond" w:hAnsi="Garamond"/>
        </w:rPr>
        <w:t xml:space="preserve">ATTENTION : en tout état de cause, les effets des nullités qu’elles soient relatives ou absolues sont les mêmes = anéantissement rétroactif du contrat. </w:t>
      </w:r>
    </w:p>
    <w:p w14:paraId="4D42CBCA" w14:textId="7CD51C11" w:rsidR="00201BCA" w:rsidRPr="00594CE0" w:rsidRDefault="002B2C7C" w:rsidP="00B07598">
      <w:pPr>
        <w:pStyle w:val="Pardeliste"/>
        <w:numPr>
          <w:ilvl w:val="0"/>
          <w:numId w:val="3"/>
        </w:numPr>
        <w:jc w:val="both"/>
        <w:rPr>
          <w:rFonts w:ascii="Garamond" w:hAnsi="Garamond"/>
          <w:b/>
          <w:i/>
        </w:rPr>
      </w:pPr>
      <w:r w:rsidRPr="00594CE0">
        <w:rPr>
          <w:rFonts w:ascii="Garamond" w:hAnsi="Garamond"/>
          <w:b/>
          <w:i/>
        </w:rPr>
        <w:lastRenderedPageBreak/>
        <w:t>La théorie classique</w:t>
      </w:r>
    </w:p>
    <w:p w14:paraId="6B257773" w14:textId="77777777" w:rsidR="000141CE" w:rsidRPr="000141CE" w:rsidRDefault="000141CE" w:rsidP="000141CE">
      <w:pPr>
        <w:jc w:val="both"/>
        <w:rPr>
          <w:rFonts w:ascii="Garamond" w:hAnsi="Garamond"/>
        </w:rPr>
      </w:pPr>
    </w:p>
    <w:p w14:paraId="5A4E5AAF" w14:textId="0A0030C0" w:rsidR="002B2C7C" w:rsidRDefault="000141CE" w:rsidP="000141CE">
      <w:pPr>
        <w:pStyle w:val="Pardeliste"/>
        <w:numPr>
          <w:ilvl w:val="0"/>
          <w:numId w:val="1"/>
        </w:numPr>
        <w:jc w:val="both"/>
        <w:rPr>
          <w:rFonts w:ascii="Garamond" w:hAnsi="Garamond"/>
        </w:rPr>
      </w:pPr>
      <w:r>
        <w:rPr>
          <w:rFonts w:ascii="Garamond" w:hAnsi="Garamond"/>
        </w:rPr>
        <w:t>« </w:t>
      </w:r>
      <w:proofErr w:type="gramStart"/>
      <w:r>
        <w:rPr>
          <w:rFonts w:ascii="Garamond" w:hAnsi="Garamond"/>
        </w:rPr>
        <w:t>mal</w:t>
      </w:r>
      <w:proofErr w:type="gramEnd"/>
      <w:r>
        <w:rPr>
          <w:rFonts w:ascii="Garamond" w:hAnsi="Garamond"/>
        </w:rPr>
        <w:t xml:space="preserve"> curable ou non affectant le contrat » </w:t>
      </w:r>
    </w:p>
    <w:p w14:paraId="0AB983C1" w14:textId="2A24BFD7" w:rsidR="000141CE" w:rsidRDefault="000141CE" w:rsidP="000141CE">
      <w:pPr>
        <w:pStyle w:val="Pardeliste"/>
        <w:numPr>
          <w:ilvl w:val="1"/>
          <w:numId w:val="1"/>
        </w:numPr>
        <w:jc w:val="both"/>
        <w:rPr>
          <w:rFonts w:ascii="Garamond" w:hAnsi="Garamond"/>
        </w:rPr>
      </w:pPr>
      <w:r>
        <w:rPr>
          <w:rFonts w:ascii="Garamond" w:hAnsi="Garamond"/>
        </w:rPr>
        <w:t>Si le mal est curable : NR</w:t>
      </w:r>
    </w:p>
    <w:p w14:paraId="14AF15FC" w14:textId="2D447194" w:rsidR="0050364B" w:rsidRDefault="000141CE" w:rsidP="0050364B">
      <w:pPr>
        <w:pStyle w:val="Pardeliste"/>
        <w:numPr>
          <w:ilvl w:val="1"/>
          <w:numId w:val="1"/>
        </w:numPr>
        <w:jc w:val="both"/>
        <w:rPr>
          <w:rFonts w:ascii="Garamond" w:hAnsi="Garamond"/>
        </w:rPr>
      </w:pPr>
      <w:r>
        <w:rPr>
          <w:rFonts w:ascii="Garamond" w:hAnsi="Garamond"/>
        </w:rPr>
        <w:t xml:space="preserve">Si le mal est incurable : NA – il semblerait selon la théorie </w:t>
      </w:r>
      <w:r w:rsidR="00594CE0">
        <w:rPr>
          <w:rFonts w:ascii="Garamond" w:hAnsi="Garamond"/>
        </w:rPr>
        <w:t>classique</w:t>
      </w:r>
      <w:r>
        <w:rPr>
          <w:rFonts w:ascii="Garamond" w:hAnsi="Garamond"/>
        </w:rPr>
        <w:t xml:space="preserve"> qu’un défaut de condition de validité du contrat (à l’époque capacité, consentement, objet cause) puisse constituer une justification d’application de la NA. </w:t>
      </w:r>
    </w:p>
    <w:p w14:paraId="35C5FD87" w14:textId="036B5862" w:rsidR="0050364B" w:rsidRDefault="0050364B" w:rsidP="0050364B">
      <w:pPr>
        <w:pStyle w:val="Pardeliste"/>
        <w:numPr>
          <w:ilvl w:val="0"/>
          <w:numId w:val="1"/>
        </w:numPr>
        <w:jc w:val="both"/>
        <w:rPr>
          <w:rFonts w:ascii="Garamond" w:hAnsi="Garamond"/>
        </w:rPr>
      </w:pPr>
      <w:r>
        <w:rPr>
          <w:rFonts w:ascii="Garamond" w:hAnsi="Garamond"/>
        </w:rPr>
        <w:t xml:space="preserve">Conséquences en application de la théorie classique : </w:t>
      </w:r>
    </w:p>
    <w:p w14:paraId="237610B3" w14:textId="52727378" w:rsidR="0050364B" w:rsidRDefault="0050364B" w:rsidP="0050364B">
      <w:pPr>
        <w:pStyle w:val="Pardeliste"/>
        <w:numPr>
          <w:ilvl w:val="1"/>
          <w:numId w:val="1"/>
        </w:numPr>
        <w:jc w:val="both"/>
        <w:rPr>
          <w:rFonts w:ascii="Garamond" w:hAnsi="Garamond"/>
        </w:rPr>
      </w:pPr>
      <w:r>
        <w:rPr>
          <w:rFonts w:ascii="Garamond" w:hAnsi="Garamond"/>
        </w:rPr>
        <w:t xml:space="preserve">NA : action par toute personne intéressée ; aucune confirmation possible ; pas de prescription </w:t>
      </w:r>
    </w:p>
    <w:p w14:paraId="69252E69" w14:textId="30C5693F" w:rsidR="0050364B" w:rsidRPr="0050364B" w:rsidRDefault="0050364B" w:rsidP="0050364B">
      <w:pPr>
        <w:pStyle w:val="Pardeliste"/>
        <w:numPr>
          <w:ilvl w:val="1"/>
          <w:numId w:val="1"/>
        </w:numPr>
        <w:jc w:val="both"/>
        <w:rPr>
          <w:rFonts w:ascii="Garamond" w:hAnsi="Garamond"/>
        </w:rPr>
      </w:pPr>
      <w:r>
        <w:rPr>
          <w:rFonts w:ascii="Garamond" w:hAnsi="Garamond"/>
        </w:rPr>
        <w:t xml:space="preserve">NR : action limitée aux parties ; confirmation possible ; prescription </w:t>
      </w:r>
    </w:p>
    <w:p w14:paraId="3D33DD23" w14:textId="77777777" w:rsidR="000141CE" w:rsidRPr="000141CE" w:rsidRDefault="000141CE" w:rsidP="000141CE">
      <w:pPr>
        <w:jc w:val="both"/>
        <w:rPr>
          <w:rFonts w:ascii="Garamond" w:hAnsi="Garamond"/>
        </w:rPr>
      </w:pPr>
    </w:p>
    <w:p w14:paraId="3BEB789A" w14:textId="273C95DF" w:rsidR="00201BCA" w:rsidRDefault="002B2C7C" w:rsidP="00B07598">
      <w:pPr>
        <w:pStyle w:val="Pardeliste"/>
        <w:numPr>
          <w:ilvl w:val="0"/>
          <w:numId w:val="3"/>
        </w:numPr>
        <w:jc w:val="both"/>
        <w:rPr>
          <w:rFonts w:ascii="Garamond" w:hAnsi="Garamond"/>
          <w:b/>
          <w:i/>
        </w:rPr>
      </w:pPr>
      <w:r w:rsidRPr="00594CE0">
        <w:rPr>
          <w:rFonts w:ascii="Garamond" w:hAnsi="Garamond"/>
          <w:b/>
          <w:i/>
        </w:rPr>
        <w:t>La théorie moderne</w:t>
      </w:r>
    </w:p>
    <w:p w14:paraId="6563E85E" w14:textId="77777777" w:rsidR="0050364B" w:rsidRPr="0050364B" w:rsidRDefault="0050364B" w:rsidP="0050364B">
      <w:pPr>
        <w:jc w:val="both"/>
        <w:rPr>
          <w:rFonts w:ascii="Garamond" w:hAnsi="Garamond"/>
          <w:b/>
          <w:i/>
        </w:rPr>
      </w:pPr>
    </w:p>
    <w:p w14:paraId="58065E9C" w14:textId="1915BB8D" w:rsidR="0050364B" w:rsidRDefault="0050364B" w:rsidP="0050364B">
      <w:pPr>
        <w:pStyle w:val="Pardeliste"/>
        <w:numPr>
          <w:ilvl w:val="0"/>
          <w:numId w:val="1"/>
        </w:numPr>
        <w:jc w:val="both"/>
        <w:rPr>
          <w:rFonts w:ascii="Garamond" w:hAnsi="Garamond"/>
        </w:rPr>
      </w:pPr>
      <w:r>
        <w:rPr>
          <w:rFonts w:ascii="Garamond" w:hAnsi="Garamond"/>
        </w:rPr>
        <w:t xml:space="preserve">Mise en avant par </w:t>
      </w:r>
      <w:proofErr w:type="spellStart"/>
      <w:r>
        <w:rPr>
          <w:rFonts w:ascii="Garamond" w:hAnsi="Garamond"/>
        </w:rPr>
        <w:t>Japiot</w:t>
      </w:r>
      <w:proofErr w:type="spellEnd"/>
      <w:r>
        <w:rPr>
          <w:rFonts w:ascii="Garamond" w:hAnsi="Garamond"/>
        </w:rPr>
        <w:t xml:space="preserve"> au début du XXème siècle </w:t>
      </w:r>
    </w:p>
    <w:p w14:paraId="6E583EF3" w14:textId="059A5D0B" w:rsidR="000141CE" w:rsidRDefault="000141CE" w:rsidP="0050364B">
      <w:pPr>
        <w:pStyle w:val="Pardeliste"/>
        <w:numPr>
          <w:ilvl w:val="0"/>
          <w:numId w:val="1"/>
        </w:numPr>
        <w:jc w:val="both"/>
        <w:rPr>
          <w:rFonts w:ascii="Garamond" w:hAnsi="Garamond"/>
        </w:rPr>
      </w:pPr>
      <w:r w:rsidRPr="0050364B">
        <w:rPr>
          <w:rFonts w:ascii="Garamond" w:hAnsi="Garamond"/>
        </w:rPr>
        <w:t>Distinction intérêt privé ou général</w:t>
      </w:r>
      <w:r w:rsidR="0050364B">
        <w:rPr>
          <w:rFonts w:ascii="Garamond" w:hAnsi="Garamond"/>
        </w:rPr>
        <w:t> : en somme, on laisse un droit d’action pour les personnes qui sont atteinte</w:t>
      </w:r>
      <w:r w:rsidR="00D2267F">
        <w:rPr>
          <w:rFonts w:ascii="Garamond" w:hAnsi="Garamond"/>
        </w:rPr>
        <w:t>s</w:t>
      </w:r>
      <w:r w:rsidR="0050364B">
        <w:rPr>
          <w:rFonts w:ascii="Garamond" w:hAnsi="Garamond"/>
        </w:rPr>
        <w:t xml:space="preserve"> par les effets du contrat annulable</w:t>
      </w:r>
      <w:r w:rsidR="00A650EB">
        <w:rPr>
          <w:rFonts w:ascii="Garamond" w:hAnsi="Garamond"/>
        </w:rPr>
        <w:t xml:space="preserve"> (c’est à dire les personnes qui était sensées être protégées par la règle méconnue au travers du contrat) </w:t>
      </w:r>
    </w:p>
    <w:p w14:paraId="30EA68CC" w14:textId="631C9240" w:rsidR="0050364B" w:rsidRDefault="0050364B" w:rsidP="0050364B">
      <w:pPr>
        <w:pStyle w:val="Pardeliste"/>
        <w:numPr>
          <w:ilvl w:val="1"/>
          <w:numId w:val="1"/>
        </w:numPr>
        <w:jc w:val="both"/>
        <w:rPr>
          <w:rFonts w:ascii="Garamond" w:hAnsi="Garamond"/>
        </w:rPr>
      </w:pPr>
      <w:r>
        <w:rPr>
          <w:rFonts w:ascii="Garamond" w:hAnsi="Garamond"/>
        </w:rPr>
        <w:t>NA : intérêt général touché par l’irrégularité/illégalité</w:t>
      </w:r>
    </w:p>
    <w:p w14:paraId="3BFDC67F" w14:textId="55A69DCB" w:rsidR="0050364B" w:rsidRDefault="0050364B" w:rsidP="0050364B">
      <w:pPr>
        <w:pStyle w:val="Pardeliste"/>
        <w:numPr>
          <w:ilvl w:val="1"/>
          <w:numId w:val="1"/>
        </w:numPr>
        <w:jc w:val="both"/>
        <w:rPr>
          <w:rFonts w:ascii="Garamond" w:hAnsi="Garamond"/>
        </w:rPr>
      </w:pPr>
      <w:r>
        <w:rPr>
          <w:rFonts w:ascii="Garamond" w:hAnsi="Garamond"/>
        </w:rPr>
        <w:t>NR : intérêt privé …</w:t>
      </w:r>
    </w:p>
    <w:p w14:paraId="4BB997D1" w14:textId="33E210E6" w:rsidR="0050364B" w:rsidRDefault="0050364B" w:rsidP="0050364B">
      <w:pPr>
        <w:jc w:val="both"/>
        <w:rPr>
          <w:rFonts w:ascii="Garamond" w:hAnsi="Garamond"/>
        </w:rPr>
      </w:pPr>
      <w:r>
        <w:rPr>
          <w:rFonts w:ascii="Garamond" w:hAnsi="Garamond"/>
        </w:rPr>
        <w:t xml:space="preserve">Finalement, la finalité de la théorie ancienne (à savoir la détermination subséquente des titulaires de l’action) devient la référence afin de fonder la distinction des régimes. </w:t>
      </w:r>
    </w:p>
    <w:p w14:paraId="02AF03CD" w14:textId="77777777" w:rsidR="0050364B" w:rsidRDefault="0050364B" w:rsidP="0050364B">
      <w:pPr>
        <w:jc w:val="both"/>
        <w:rPr>
          <w:rFonts w:ascii="Garamond" w:hAnsi="Garamond"/>
        </w:rPr>
      </w:pPr>
    </w:p>
    <w:p w14:paraId="0F318473" w14:textId="41B4E661" w:rsidR="0050364B" w:rsidRPr="0050364B" w:rsidRDefault="0050364B" w:rsidP="0050364B">
      <w:pPr>
        <w:jc w:val="both"/>
        <w:rPr>
          <w:rFonts w:ascii="Garamond" w:hAnsi="Garamond"/>
        </w:rPr>
      </w:pPr>
      <w:r>
        <w:rPr>
          <w:rFonts w:ascii="Garamond" w:hAnsi="Garamond"/>
        </w:rPr>
        <w:t xml:space="preserve">C’est précisément ce qui semble être retenu en l’espèce, mettant un peu plus à mal la théorie classique, devant elle, presque inexistante. </w:t>
      </w:r>
    </w:p>
    <w:p w14:paraId="1F1E2157" w14:textId="77777777" w:rsidR="000141CE" w:rsidRPr="000141CE" w:rsidRDefault="000141CE" w:rsidP="000141CE">
      <w:pPr>
        <w:jc w:val="both"/>
        <w:rPr>
          <w:rFonts w:ascii="Garamond" w:hAnsi="Garamond"/>
        </w:rPr>
      </w:pPr>
    </w:p>
    <w:p w14:paraId="34756902" w14:textId="6529EA1B" w:rsidR="00201BCA" w:rsidRPr="00B07598" w:rsidRDefault="00201BCA" w:rsidP="00B07598">
      <w:pPr>
        <w:pStyle w:val="Pardeliste"/>
        <w:numPr>
          <w:ilvl w:val="0"/>
          <w:numId w:val="2"/>
        </w:numPr>
        <w:jc w:val="both"/>
        <w:rPr>
          <w:rFonts w:ascii="Garamond" w:hAnsi="Garamond"/>
          <w:b/>
        </w:rPr>
      </w:pPr>
      <w:r w:rsidRPr="00B07598">
        <w:rPr>
          <w:rFonts w:ascii="Garamond" w:hAnsi="Garamond"/>
          <w:b/>
        </w:rPr>
        <w:t xml:space="preserve">L’élément déterminant du régime de nullité </w:t>
      </w:r>
    </w:p>
    <w:p w14:paraId="5C5933ED" w14:textId="77777777" w:rsidR="00201BCA" w:rsidRDefault="00201BCA" w:rsidP="00B07598">
      <w:pPr>
        <w:jc w:val="both"/>
        <w:rPr>
          <w:rFonts w:ascii="Garamond" w:hAnsi="Garamond"/>
        </w:rPr>
      </w:pPr>
    </w:p>
    <w:p w14:paraId="74352E6A" w14:textId="2A438EE3" w:rsidR="00201BCA" w:rsidRPr="00594CE0" w:rsidRDefault="000E3D06" w:rsidP="00B07598">
      <w:pPr>
        <w:pStyle w:val="Pardeliste"/>
        <w:numPr>
          <w:ilvl w:val="0"/>
          <w:numId w:val="4"/>
        </w:numPr>
        <w:jc w:val="both"/>
        <w:rPr>
          <w:rFonts w:ascii="Garamond" w:hAnsi="Garamond"/>
          <w:b/>
          <w:i/>
        </w:rPr>
      </w:pPr>
      <w:r w:rsidRPr="00594CE0">
        <w:rPr>
          <w:rFonts w:ascii="Garamond" w:hAnsi="Garamond"/>
          <w:b/>
          <w:i/>
        </w:rPr>
        <w:t>L’écartement de l’élément essentiel</w:t>
      </w:r>
    </w:p>
    <w:p w14:paraId="3ECC6088" w14:textId="77777777" w:rsidR="00B07598" w:rsidRDefault="00B07598" w:rsidP="00B07598">
      <w:pPr>
        <w:jc w:val="both"/>
        <w:rPr>
          <w:rFonts w:ascii="Garamond" w:hAnsi="Garamond"/>
        </w:rPr>
      </w:pPr>
    </w:p>
    <w:p w14:paraId="03FC4378" w14:textId="4572B3EA" w:rsidR="00B07598" w:rsidRDefault="00B07598" w:rsidP="00B07598">
      <w:pPr>
        <w:pStyle w:val="Pardeliste"/>
        <w:numPr>
          <w:ilvl w:val="0"/>
          <w:numId w:val="1"/>
        </w:numPr>
        <w:jc w:val="both"/>
        <w:rPr>
          <w:rFonts w:ascii="Garamond" w:hAnsi="Garamond"/>
        </w:rPr>
      </w:pPr>
      <w:r>
        <w:rPr>
          <w:rFonts w:ascii="Garamond" w:hAnsi="Garamond"/>
        </w:rPr>
        <w:t xml:space="preserve">La chambre </w:t>
      </w:r>
      <w:r w:rsidRPr="00B07598">
        <w:rPr>
          <w:rFonts w:ascii="Garamond" w:hAnsi="Garamond"/>
          <w:u w:val="single"/>
        </w:rPr>
        <w:t>commerciale</w:t>
      </w:r>
      <w:r>
        <w:rPr>
          <w:rFonts w:ascii="Garamond" w:hAnsi="Garamond"/>
        </w:rPr>
        <w:t xml:space="preserve"> de la Cour de cassation avait pour habitude de se fonder sur le critère tenant à l’absence ou à l’existence d’un élément essentiel du contrat afin de se prononcer sur </w:t>
      </w:r>
      <w:r w:rsidR="0050364B">
        <w:rPr>
          <w:rFonts w:ascii="Garamond" w:hAnsi="Garamond"/>
        </w:rPr>
        <w:t>le régime de nullité applicable</w:t>
      </w:r>
      <w:r>
        <w:rPr>
          <w:rFonts w:ascii="Garamond" w:hAnsi="Garamond"/>
        </w:rPr>
        <w:t>.</w:t>
      </w:r>
    </w:p>
    <w:p w14:paraId="7B2E4F76" w14:textId="77777777" w:rsidR="000141CE" w:rsidRDefault="00B07598" w:rsidP="00B07598">
      <w:pPr>
        <w:pStyle w:val="Pardeliste"/>
        <w:numPr>
          <w:ilvl w:val="0"/>
          <w:numId w:val="1"/>
        </w:numPr>
        <w:jc w:val="both"/>
        <w:rPr>
          <w:rFonts w:ascii="Garamond" w:hAnsi="Garamond"/>
        </w:rPr>
      </w:pPr>
      <w:r>
        <w:rPr>
          <w:rFonts w:ascii="Garamond" w:hAnsi="Garamond"/>
        </w:rPr>
        <w:t xml:space="preserve">AINSI : </w:t>
      </w:r>
      <w:r w:rsidRPr="00B07598">
        <w:rPr>
          <w:rFonts w:ascii="Garamond" w:hAnsi="Garamond"/>
        </w:rPr>
        <w:t>Com</w:t>
      </w:r>
      <w:r>
        <w:rPr>
          <w:rFonts w:ascii="Garamond" w:hAnsi="Garamond"/>
        </w:rPr>
        <w:t xml:space="preserve"> 23 octobre 2007 : lorsqu’un élément essentiel d’un contrat fait défaut au moment de la formation du contrat ( hypothèse de cession sans prix ou sans prix sérieux) </w:t>
      </w:r>
      <w:r w:rsidRPr="00B07598">
        <w:rPr>
          <w:rFonts w:ascii="Garamond" w:hAnsi="Garamond"/>
        </w:rPr>
        <w:sym w:font="Wingdings" w:char="F0E8"/>
      </w:r>
      <w:r>
        <w:rPr>
          <w:rFonts w:ascii="Garamond" w:hAnsi="Garamond"/>
        </w:rPr>
        <w:t xml:space="preserve"> c’est bien la NA qui est mise en jeu avec à l’époque le délai de prescription de 30 ans. </w:t>
      </w:r>
    </w:p>
    <w:p w14:paraId="5BF23D74" w14:textId="4E3C784A" w:rsidR="000141CE" w:rsidRDefault="000141CE" w:rsidP="000141CE">
      <w:pPr>
        <w:pStyle w:val="Pardeliste"/>
        <w:jc w:val="both"/>
        <w:rPr>
          <w:rFonts w:ascii="Garamond" w:hAnsi="Garamond"/>
        </w:rPr>
      </w:pPr>
      <w:r>
        <w:rPr>
          <w:rFonts w:ascii="Garamond" w:hAnsi="Garamond"/>
        </w:rPr>
        <w:t xml:space="preserve">La Cour fait ici application de la théorie classique des nullités </w:t>
      </w:r>
    </w:p>
    <w:p w14:paraId="4C575AA0" w14:textId="77777777" w:rsidR="000141CE" w:rsidRDefault="000141CE" w:rsidP="000141CE">
      <w:pPr>
        <w:pStyle w:val="Pardeliste"/>
        <w:jc w:val="both"/>
        <w:rPr>
          <w:rFonts w:ascii="Garamond" w:hAnsi="Garamond"/>
        </w:rPr>
      </w:pPr>
    </w:p>
    <w:p w14:paraId="167489D1" w14:textId="3AAB6298" w:rsidR="00B07598" w:rsidRDefault="00B07598" w:rsidP="00B07598">
      <w:pPr>
        <w:pStyle w:val="Pardeliste"/>
        <w:numPr>
          <w:ilvl w:val="0"/>
          <w:numId w:val="1"/>
        </w:numPr>
        <w:jc w:val="both"/>
        <w:rPr>
          <w:rFonts w:ascii="Garamond" w:hAnsi="Garamond"/>
        </w:rPr>
      </w:pPr>
      <w:r>
        <w:rPr>
          <w:rFonts w:ascii="Garamond" w:hAnsi="Garamond"/>
        </w:rPr>
        <w:t xml:space="preserve">Les prétentions des demandeurs au pourvoi apparaissent donc tout à fait raisonnables. </w:t>
      </w:r>
    </w:p>
    <w:p w14:paraId="60E1851B" w14:textId="77777777" w:rsidR="00B07598" w:rsidRPr="000141CE" w:rsidRDefault="00B07598" w:rsidP="000141CE">
      <w:pPr>
        <w:ind w:left="360"/>
        <w:jc w:val="both"/>
        <w:rPr>
          <w:rFonts w:ascii="Garamond" w:hAnsi="Garamond"/>
        </w:rPr>
      </w:pPr>
    </w:p>
    <w:p w14:paraId="47AF46FF" w14:textId="2D24A064" w:rsidR="000E3D06" w:rsidRPr="00594CE0" w:rsidRDefault="000E3D06" w:rsidP="00B07598">
      <w:pPr>
        <w:pStyle w:val="Pardeliste"/>
        <w:numPr>
          <w:ilvl w:val="0"/>
          <w:numId w:val="4"/>
        </w:numPr>
        <w:jc w:val="both"/>
        <w:rPr>
          <w:rFonts w:ascii="Garamond" w:hAnsi="Garamond"/>
          <w:b/>
          <w:i/>
        </w:rPr>
      </w:pPr>
      <w:r w:rsidRPr="00594CE0">
        <w:rPr>
          <w:rFonts w:ascii="Garamond" w:hAnsi="Garamond"/>
          <w:b/>
          <w:i/>
        </w:rPr>
        <w:t xml:space="preserve">La mise en exergue des intérêts en jeu </w:t>
      </w:r>
    </w:p>
    <w:p w14:paraId="72F3D0EE" w14:textId="77777777" w:rsidR="00594CE0" w:rsidRPr="00594CE0" w:rsidRDefault="00594CE0" w:rsidP="00594CE0">
      <w:pPr>
        <w:jc w:val="both"/>
        <w:rPr>
          <w:rFonts w:ascii="Garamond" w:hAnsi="Garamond"/>
          <w:i/>
        </w:rPr>
      </w:pPr>
    </w:p>
    <w:p w14:paraId="7AABB735" w14:textId="796167B7" w:rsidR="00201BCA" w:rsidRDefault="00B07598" w:rsidP="00B07598">
      <w:pPr>
        <w:pStyle w:val="Pardeliste"/>
        <w:numPr>
          <w:ilvl w:val="0"/>
          <w:numId w:val="1"/>
        </w:numPr>
        <w:jc w:val="both"/>
        <w:rPr>
          <w:rFonts w:ascii="Garamond" w:hAnsi="Garamond"/>
        </w:rPr>
      </w:pPr>
      <w:r>
        <w:rPr>
          <w:rFonts w:ascii="Garamond" w:hAnsi="Garamond"/>
        </w:rPr>
        <w:t xml:space="preserve">La mise en avant étonnantes des décisions rendues par </w:t>
      </w:r>
      <w:r w:rsidRPr="00B07598">
        <w:rPr>
          <w:rFonts w:ascii="Garamond" w:hAnsi="Garamond"/>
          <w:u w:val="single"/>
        </w:rPr>
        <w:t>les autres chambres</w:t>
      </w:r>
      <w:r>
        <w:rPr>
          <w:rFonts w:ascii="Garamond" w:hAnsi="Garamond"/>
        </w:rPr>
        <w:t xml:space="preserve"> de la Cour de cassation :</w:t>
      </w:r>
    </w:p>
    <w:p w14:paraId="28D4D237" w14:textId="02B4C19F" w:rsidR="00B07598" w:rsidRDefault="007F657E" w:rsidP="00B07598">
      <w:pPr>
        <w:pStyle w:val="Pardeliste"/>
        <w:numPr>
          <w:ilvl w:val="1"/>
          <w:numId w:val="1"/>
        </w:numPr>
        <w:jc w:val="both"/>
        <w:rPr>
          <w:rFonts w:ascii="Garamond" w:hAnsi="Garamond"/>
        </w:rPr>
      </w:pPr>
      <w:r>
        <w:rPr>
          <w:rFonts w:ascii="Garamond" w:hAnsi="Garamond"/>
        </w:rPr>
        <w:t>(</w:t>
      </w:r>
      <w:proofErr w:type="spellStart"/>
      <w:r w:rsidR="00B07598">
        <w:rPr>
          <w:rFonts w:ascii="Garamond" w:hAnsi="Garamond"/>
        </w:rPr>
        <w:t>Civ</w:t>
      </w:r>
      <w:proofErr w:type="spellEnd"/>
      <w:r w:rsidR="00B07598">
        <w:rPr>
          <w:rFonts w:ascii="Garamond" w:hAnsi="Garamond"/>
        </w:rPr>
        <w:t>. 1</w:t>
      </w:r>
      <w:r w:rsidR="00B07598" w:rsidRPr="00B07598">
        <w:rPr>
          <w:rFonts w:ascii="Garamond" w:hAnsi="Garamond"/>
          <w:vertAlign w:val="superscript"/>
        </w:rPr>
        <w:t>ère</w:t>
      </w:r>
      <w:r w:rsidR="00B07598">
        <w:rPr>
          <w:rFonts w:ascii="Garamond" w:hAnsi="Garamond"/>
        </w:rPr>
        <w:t>, 24 mars 1993</w:t>
      </w:r>
      <w:r>
        <w:rPr>
          <w:rFonts w:ascii="Garamond" w:hAnsi="Garamond"/>
        </w:rPr>
        <w:t>) ; 29 septembre 2004</w:t>
      </w:r>
    </w:p>
    <w:p w14:paraId="527260E3" w14:textId="54CA2AE4" w:rsidR="00B07598" w:rsidRDefault="00B07598" w:rsidP="00B07598">
      <w:pPr>
        <w:pStyle w:val="Pardeliste"/>
        <w:numPr>
          <w:ilvl w:val="1"/>
          <w:numId w:val="1"/>
        </w:numPr>
        <w:jc w:val="both"/>
        <w:rPr>
          <w:rFonts w:ascii="Garamond" w:hAnsi="Garamond"/>
        </w:rPr>
      </w:pPr>
      <w:proofErr w:type="spellStart"/>
      <w:r>
        <w:rPr>
          <w:rFonts w:ascii="Garamond" w:hAnsi="Garamond"/>
        </w:rPr>
        <w:t>Civ</w:t>
      </w:r>
      <w:proofErr w:type="spellEnd"/>
      <w:r>
        <w:rPr>
          <w:rFonts w:ascii="Garamond" w:hAnsi="Garamond"/>
        </w:rPr>
        <w:t>. 3</w:t>
      </w:r>
      <w:r w:rsidRPr="00B07598">
        <w:rPr>
          <w:rFonts w:ascii="Garamond" w:hAnsi="Garamond"/>
          <w:vertAlign w:val="superscript"/>
        </w:rPr>
        <w:t>ème</w:t>
      </w:r>
      <w:r w:rsidR="007F657E">
        <w:rPr>
          <w:rFonts w:ascii="Garamond" w:hAnsi="Garamond"/>
        </w:rPr>
        <w:t xml:space="preserve">, 24 octobre 2012 </w:t>
      </w:r>
    </w:p>
    <w:p w14:paraId="3C590CAA" w14:textId="67FD13F7" w:rsidR="00B07598" w:rsidRDefault="00B07598" w:rsidP="00B07598">
      <w:pPr>
        <w:pStyle w:val="Pardeliste"/>
        <w:numPr>
          <w:ilvl w:val="0"/>
          <w:numId w:val="1"/>
        </w:numPr>
        <w:jc w:val="both"/>
        <w:rPr>
          <w:rFonts w:ascii="Garamond" w:hAnsi="Garamond"/>
        </w:rPr>
      </w:pPr>
      <w:r>
        <w:rPr>
          <w:rFonts w:ascii="Garamond" w:hAnsi="Garamond"/>
        </w:rPr>
        <w:t xml:space="preserve">On perçoit une volonté d’alignement des positions en gage de sécurité. A cet égard l’on </w:t>
      </w:r>
      <w:r w:rsidR="00594CE0">
        <w:rPr>
          <w:rFonts w:ascii="Garamond" w:hAnsi="Garamond"/>
        </w:rPr>
        <w:t>applique manifestement la</w:t>
      </w:r>
      <w:r>
        <w:rPr>
          <w:rFonts w:ascii="Garamond" w:hAnsi="Garamond"/>
        </w:rPr>
        <w:t xml:space="preserve"> </w:t>
      </w:r>
      <w:r w:rsidR="00594CE0">
        <w:rPr>
          <w:rFonts w:ascii="Garamond" w:hAnsi="Garamond"/>
        </w:rPr>
        <w:t>théorie moderne</w:t>
      </w:r>
      <w:r>
        <w:rPr>
          <w:rFonts w:ascii="Garamond" w:hAnsi="Garamond"/>
        </w:rPr>
        <w:t xml:space="preserve"> des régimes de nullité : la protection des intérêts en cause. </w:t>
      </w:r>
    </w:p>
    <w:p w14:paraId="1B3685B4" w14:textId="16465275" w:rsidR="00B07598" w:rsidRDefault="0050364B" w:rsidP="00B07598">
      <w:pPr>
        <w:pStyle w:val="Pardeliste"/>
        <w:numPr>
          <w:ilvl w:val="0"/>
          <w:numId w:val="1"/>
        </w:numPr>
        <w:jc w:val="both"/>
        <w:rPr>
          <w:rFonts w:ascii="Garamond" w:hAnsi="Garamond"/>
        </w:rPr>
      </w:pPr>
      <w:r>
        <w:rPr>
          <w:rFonts w:ascii="Garamond" w:hAnsi="Garamond"/>
        </w:rPr>
        <w:t xml:space="preserve">A noter le contexte dans lequel la décision est rendue : seulement quelques semaines après l’ordonnance de réforme du droit des contrats : c’est bien la théorie moderne, privilégiant les intérêts en jeu qui est consacrée : art 1179 </w:t>
      </w:r>
      <w:proofErr w:type="spellStart"/>
      <w:r>
        <w:rPr>
          <w:rFonts w:ascii="Garamond" w:hAnsi="Garamond"/>
        </w:rPr>
        <w:t>c.civ</w:t>
      </w:r>
      <w:proofErr w:type="spellEnd"/>
      <w:r w:rsidR="000337CE">
        <w:rPr>
          <w:rFonts w:ascii="Garamond" w:hAnsi="Garamond"/>
        </w:rPr>
        <w:t xml:space="preserve"> (+ 1180 et 1181). </w:t>
      </w:r>
    </w:p>
    <w:p w14:paraId="2AB34137" w14:textId="77777777" w:rsidR="000337CE" w:rsidRPr="000337CE" w:rsidRDefault="000337CE" w:rsidP="000337CE">
      <w:pPr>
        <w:jc w:val="both"/>
        <w:rPr>
          <w:rFonts w:ascii="Garamond" w:hAnsi="Garamond"/>
        </w:rPr>
      </w:pPr>
    </w:p>
    <w:p w14:paraId="7A9419BD" w14:textId="33CBED8A" w:rsidR="00201BCA" w:rsidRPr="00B07598" w:rsidRDefault="00201BCA" w:rsidP="00B07598">
      <w:pPr>
        <w:jc w:val="both"/>
        <w:rPr>
          <w:rFonts w:ascii="Garamond" w:hAnsi="Garamond"/>
          <w:b/>
          <w:u w:val="single"/>
        </w:rPr>
      </w:pPr>
      <w:r w:rsidRPr="00B07598">
        <w:rPr>
          <w:rFonts w:ascii="Garamond" w:hAnsi="Garamond"/>
          <w:b/>
          <w:u w:val="single"/>
        </w:rPr>
        <w:t xml:space="preserve">II- La justification subséquente de l’application d’une nullité relative </w:t>
      </w:r>
    </w:p>
    <w:p w14:paraId="30C4ECA0" w14:textId="77777777" w:rsidR="00350124" w:rsidRDefault="00350124" w:rsidP="00B07598">
      <w:pPr>
        <w:jc w:val="both"/>
        <w:rPr>
          <w:rFonts w:ascii="Garamond" w:hAnsi="Garamond"/>
        </w:rPr>
      </w:pPr>
    </w:p>
    <w:p w14:paraId="0DB690CB" w14:textId="7923F2D9" w:rsidR="00350124" w:rsidRPr="00B07598" w:rsidRDefault="000E3D06" w:rsidP="00B07598">
      <w:pPr>
        <w:pStyle w:val="Pardeliste"/>
        <w:numPr>
          <w:ilvl w:val="0"/>
          <w:numId w:val="5"/>
        </w:numPr>
        <w:jc w:val="both"/>
        <w:rPr>
          <w:rFonts w:ascii="Garamond" w:hAnsi="Garamond"/>
          <w:b/>
        </w:rPr>
      </w:pPr>
      <w:r w:rsidRPr="00B07598">
        <w:rPr>
          <w:rFonts w:ascii="Garamond" w:hAnsi="Garamond"/>
          <w:b/>
        </w:rPr>
        <w:t xml:space="preserve">L’hypothèse précisée d’un prix vil ou indéterminé </w:t>
      </w:r>
    </w:p>
    <w:p w14:paraId="33654275" w14:textId="77777777" w:rsidR="000E3D06" w:rsidRDefault="000E3D06" w:rsidP="00B07598">
      <w:pPr>
        <w:jc w:val="both"/>
        <w:rPr>
          <w:rFonts w:ascii="Garamond" w:hAnsi="Garamond"/>
        </w:rPr>
      </w:pPr>
    </w:p>
    <w:p w14:paraId="560AD765" w14:textId="543FDDD2" w:rsidR="000E3D06" w:rsidRDefault="000337CE" w:rsidP="00B07598">
      <w:pPr>
        <w:pStyle w:val="Pardeliste"/>
        <w:numPr>
          <w:ilvl w:val="0"/>
          <w:numId w:val="7"/>
        </w:numPr>
        <w:jc w:val="both"/>
        <w:rPr>
          <w:rFonts w:ascii="Garamond" w:hAnsi="Garamond"/>
          <w:b/>
          <w:i/>
        </w:rPr>
      </w:pPr>
      <w:r>
        <w:rPr>
          <w:rFonts w:ascii="Garamond" w:hAnsi="Garamond"/>
          <w:b/>
          <w:i/>
        </w:rPr>
        <w:t>La méconnaissance d’un élément essentiel à la formation du contrat</w:t>
      </w:r>
    </w:p>
    <w:p w14:paraId="49E0A594" w14:textId="77777777" w:rsidR="00594CE0" w:rsidRDefault="00594CE0" w:rsidP="00594CE0">
      <w:pPr>
        <w:jc w:val="both"/>
        <w:rPr>
          <w:rFonts w:ascii="Garamond" w:hAnsi="Garamond"/>
          <w:b/>
          <w:i/>
        </w:rPr>
      </w:pPr>
    </w:p>
    <w:p w14:paraId="2A95F89C" w14:textId="638179A1" w:rsidR="000337CE" w:rsidRDefault="000337CE" w:rsidP="000337CE">
      <w:pPr>
        <w:pStyle w:val="Pardeliste"/>
        <w:numPr>
          <w:ilvl w:val="0"/>
          <w:numId w:val="1"/>
        </w:numPr>
        <w:jc w:val="both"/>
        <w:rPr>
          <w:rFonts w:ascii="Garamond" w:hAnsi="Garamond"/>
        </w:rPr>
      </w:pPr>
      <w:r>
        <w:rPr>
          <w:rFonts w:ascii="Garamond" w:hAnsi="Garamond"/>
        </w:rPr>
        <w:t>En appliquant théorie moderne : vil prix ou prix indéterminé , équivalent à un défaut d’un élément essentiel (autrefois défaut de cause</w:t>
      </w:r>
      <w:r>
        <w:rPr>
          <w:rFonts w:ascii="Garamond" w:hAnsi="Garamond"/>
        </w:rPr>
        <w:t xml:space="preserve"> (civ. 1</w:t>
      </w:r>
      <w:r w:rsidRPr="000337CE">
        <w:rPr>
          <w:rFonts w:ascii="Garamond" w:hAnsi="Garamond"/>
          <w:vertAlign w:val="superscript"/>
        </w:rPr>
        <w:t>ère</w:t>
      </w:r>
      <w:r>
        <w:rPr>
          <w:rFonts w:ascii="Garamond" w:hAnsi="Garamond"/>
        </w:rPr>
        <w:t xml:space="preserve"> 9 </w:t>
      </w:r>
      <w:proofErr w:type="spellStart"/>
      <w:r>
        <w:rPr>
          <w:rFonts w:ascii="Garamond" w:hAnsi="Garamond"/>
        </w:rPr>
        <w:t>nov</w:t>
      </w:r>
      <w:proofErr w:type="spellEnd"/>
      <w:r>
        <w:rPr>
          <w:rFonts w:ascii="Garamond" w:hAnsi="Garamond"/>
        </w:rPr>
        <w:t xml:space="preserve"> 1999 / civ. 3</w:t>
      </w:r>
      <w:r w:rsidRPr="000337CE">
        <w:rPr>
          <w:rFonts w:ascii="Garamond" w:hAnsi="Garamond"/>
          <w:vertAlign w:val="superscript"/>
        </w:rPr>
        <w:t>ème</w:t>
      </w:r>
      <w:r>
        <w:rPr>
          <w:rFonts w:ascii="Garamond" w:hAnsi="Garamond"/>
        </w:rPr>
        <w:t xml:space="preserve"> 29 mars 2006</w:t>
      </w:r>
      <w:r>
        <w:rPr>
          <w:rFonts w:ascii="Garamond" w:hAnsi="Garamond"/>
        </w:rPr>
        <w:t xml:space="preserve">, aujourd’hui défaut de contrepartie) </w:t>
      </w:r>
      <w:r w:rsidRPr="00594CE0">
        <w:rPr>
          <w:rFonts w:ascii="Garamond" w:hAnsi="Garamond"/>
        </w:rPr>
        <w:sym w:font="Wingdings" w:char="F0E8"/>
      </w:r>
      <w:r>
        <w:rPr>
          <w:rFonts w:ascii="Garamond" w:hAnsi="Garamond"/>
        </w:rPr>
        <w:t xml:space="preserve"> NR</w:t>
      </w:r>
    </w:p>
    <w:p w14:paraId="566F4BD7" w14:textId="09523770" w:rsidR="000337CE" w:rsidRDefault="000337CE" w:rsidP="000337CE">
      <w:pPr>
        <w:pStyle w:val="Pardeliste"/>
        <w:numPr>
          <w:ilvl w:val="0"/>
          <w:numId w:val="1"/>
        </w:numPr>
        <w:jc w:val="both"/>
        <w:rPr>
          <w:rFonts w:ascii="Garamond" w:hAnsi="Garamond"/>
        </w:rPr>
      </w:pPr>
      <w:r>
        <w:rPr>
          <w:rFonts w:ascii="Garamond" w:hAnsi="Garamond"/>
        </w:rPr>
        <w:t>La solution est également constatable pour d’autres conditions de validités du contrat : incapacité, vices du consentement…</w:t>
      </w:r>
    </w:p>
    <w:p w14:paraId="22D61857" w14:textId="24E0BB40" w:rsidR="000337CE" w:rsidRDefault="000337CE" w:rsidP="000337CE">
      <w:pPr>
        <w:pStyle w:val="Pardeliste"/>
        <w:numPr>
          <w:ilvl w:val="0"/>
          <w:numId w:val="1"/>
        </w:numPr>
        <w:jc w:val="both"/>
        <w:rPr>
          <w:rFonts w:ascii="Garamond" w:hAnsi="Garamond"/>
        </w:rPr>
      </w:pPr>
      <w:r>
        <w:rPr>
          <w:rFonts w:ascii="Garamond" w:hAnsi="Garamond"/>
        </w:rPr>
        <w:t>A noter en revanche la distinction avec l’ancienne cause illicite (civ 1</w:t>
      </w:r>
      <w:r w:rsidRPr="000337CE">
        <w:rPr>
          <w:rFonts w:ascii="Garamond" w:hAnsi="Garamond"/>
          <w:vertAlign w:val="superscript"/>
        </w:rPr>
        <w:t>ère</w:t>
      </w:r>
      <w:r>
        <w:rPr>
          <w:rFonts w:ascii="Garamond" w:hAnsi="Garamond"/>
        </w:rPr>
        <w:t>, 15 janvier 2015 : retient la NA), aujourd’hui illicéité/ immoralité de l’objet ou du but</w:t>
      </w:r>
    </w:p>
    <w:p w14:paraId="67365634" w14:textId="77777777" w:rsidR="000337CE" w:rsidRPr="000337CE" w:rsidRDefault="000337CE" w:rsidP="00594CE0">
      <w:pPr>
        <w:jc w:val="both"/>
        <w:rPr>
          <w:rFonts w:ascii="Garamond" w:hAnsi="Garamond"/>
        </w:rPr>
      </w:pPr>
    </w:p>
    <w:p w14:paraId="5525F418" w14:textId="528ABB4E" w:rsidR="000E3D06" w:rsidRDefault="006B70E5" w:rsidP="00B07598">
      <w:pPr>
        <w:pStyle w:val="Pardeliste"/>
        <w:numPr>
          <w:ilvl w:val="0"/>
          <w:numId w:val="7"/>
        </w:numPr>
        <w:jc w:val="both"/>
        <w:rPr>
          <w:rFonts w:ascii="Garamond" w:hAnsi="Garamond"/>
          <w:b/>
          <w:i/>
        </w:rPr>
      </w:pPr>
      <w:r>
        <w:rPr>
          <w:rFonts w:ascii="Garamond" w:hAnsi="Garamond"/>
          <w:b/>
          <w:i/>
        </w:rPr>
        <w:t>L’éventualité de la</w:t>
      </w:r>
      <w:r w:rsidR="00594CE0">
        <w:rPr>
          <w:rFonts w:ascii="Garamond" w:hAnsi="Garamond"/>
          <w:b/>
          <w:i/>
        </w:rPr>
        <w:t xml:space="preserve"> curabilité du défaut de prix </w:t>
      </w:r>
    </w:p>
    <w:p w14:paraId="42CF57C8" w14:textId="77777777" w:rsidR="00594CE0" w:rsidRPr="00594CE0" w:rsidRDefault="00594CE0" w:rsidP="00594CE0">
      <w:pPr>
        <w:jc w:val="both"/>
        <w:rPr>
          <w:rFonts w:ascii="Garamond" w:hAnsi="Garamond"/>
          <w:b/>
          <w:i/>
        </w:rPr>
      </w:pPr>
    </w:p>
    <w:p w14:paraId="1610CA3A" w14:textId="0FD78ED6" w:rsidR="00594CE0" w:rsidRDefault="00594CE0" w:rsidP="00594CE0">
      <w:pPr>
        <w:pStyle w:val="Pardeliste"/>
        <w:numPr>
          <w:ilvl w:val="0"/>
          <w:numId w:val="1"/>
        </w:numPr>
        <w:jc w:val="both"/>
        <w:rPr>
          <w:rFonts w:ascii="Garamond" w:hAnsi="Garamond"/>
        </w:rPr>
      </w:pPr>
      <w:r>
        <w:rPr>
          <w:rFonts w:ascii="Garamond" w:hAnsi="Garamond"/>
        </w:rPr>
        <w:t xml:space="preserve">Si l’on opère un raisonnement en sens inverse, et en se référant à la théorie classique : est ce que l’on peut considérer qu’une telle situation serait curable ? </w:t>
      </w:r>
      <w:r w:rsidRPr="00594CE0">
        <w:rPr>
          <w:rFonts w:ascii="Garamond" w:hAnsi="Garamond"/>
        </w:rPr>
        <w:sym w:font="Wingdings" w:char="F0E8"/>
      </w:r>
      <w:r>
        <w:rPr>
          <w:rFonts w:ascii="Garamond" w:hAnsi="Garamond"/>
        </w:rPr>
        <w:t xml:space="preserve"> </w:t>
      </w:r>
      <w:r w:rsidR="000337CE">
        <w:rPr>
          <w:rFonts w:ascii="Garamond" w:hAnsi="Garamond"/>
        </w:rPr>
        <w:t>Hypothèse</w:t>
      </w:r>
      <w:r>
        <w:rPr>
          <w:rFonts w:ascii="Garamond" w:hAnsi="Garamond"/>
        </w:rPr>
        <w:t xml:space="preserve"> de </w:t>
      </w:r>
      <w:r>
        <w:rPr>
          <w:rFonts w:ascii="Garamond" w:hAnsi="Garamond"/>
          <w:b/>
        </w:rPr>
        <w:t>confirmation</w:t>
      </w:r>
      <w:r>
        <w:rPr>
          <w:rFonts w:ascii="Garamond" w:hAnsi="Garamond"/>
        </w:rPr>
        <w:t xml:space="preserve"> du contrat ?</w:t>
      </w:r>
    </w:p>
    <w:p w14:paraId="15E0B0A1" w14:textId="65238483" w:rsidR="00594CE0" w:rsidRDefault="006B70E5" w:rsidP="006B70E5">
      <w:pPr>
        <w:pStyle w:val="Pardeliste"/>
        <w:numPr>
          <w:ilvl w:val="0"/>
          <w:numId w:val="1"/>
        </w:numPr>
        <w:jc w:val="both"/>
        <w:rPr>
          <w:rFonts w:ascii="Garamond" w:hAnsi="Garamond"/>
        </w:rPr>
      </w:pPr>
      <w:r>
        <w:rPr>
          <w:rFonts w:ascii="Garamond" w:hAnsi="Garamond"/>
        </w:rPr>
        <w:t xml:space="preserve">Définition de la confirmation : </w:t>
      </w:r>
      <w:r w:rsidR="00691DC1">
        <w:rPr>
          <w:rFonts w:ascii="Garamond" w:hAnsi="Garamond"/>
        </w:rPr>
        <w:t xml:space="preserve">il s’agit de renoncer au droit d’invoquer la nullité </w:t>
      </w:r>
      <w:r w:rsidR="00691DC1" w:rsidRPr="00691DC1">
        <w:rPr>
          <w:rFonts w:ascii="Garamond" w:hAnsi="Garamond"/>
        </w:rPr>
        <w:sym w:font="Wingdings" w:char="F0E8"/>
      </w:r>
      <w:r w:rsidR="00691DC1">
        <w:rPr>
          <w:rFonts w:ascii="Garamond" w:hAnsi="Garamond"/>
        </w:rPr>
        <w:t xml:space="preserve"> validité du contrat confirmée. C’est le titulaire de l’</w:t>
      </w:r>
      <w:r w:rsidR="004D498E">
        <w:rPr>
          <w:rFonts w:ascii="Garamond" w:hAnsi="Garamond"/>
        </w:rPr>
        <w:t xml:space="preserve">action en nullité (partie lésée dans son intérêt particulier ) </w:t>
      </w:r>
      <w:r w:rsidR="00691DC1">
        <w:rPr>
          <w:rFonts w:ascii="Garamond" w:hAnsi="Garamond"/>
        </w:rPr>
        <w:t>qui a le pouvoir de confirmer l’</w:t>
      </w:r>
      <w:r w:rsidR="004D498E">
        <w:rPr>
          <w:rFonts w:ascii="Garamond" w:hAnsi="Garamond"/>
        </w:rPr>
        <w:t xml:space="preserve">acte </w:t>
      </w:r>
      <w:r w:rsidR="004D498E" w:rsidRPr="004D498E">
        <w:rPr>
          <w:rFonts w:ascii="Garamond" w:hAnsi="Garamond"/>
        </w:rPr>
        <w:sym w:font="Wingdings" w:char="F0E8"/>
      </w:r>
      <w:r w:rsidR="004D498E">
        <w:rPr>
          <w:rFonts w:ascii="Garamond" w:hAnsi="Garamond"/>
        </w:rPr>
        <w:t xml:space="preserve"> donc ne marche que pour la NR ! Pas envisageable de laisser cette possibilité de confirmation ouverte à trop de personne (cas de la NA si cela était acceptée). Admis encore </w:t>
      </w:r>
      <w:proofErr w:type="spellStart"/>
      <w:r w:rsidR="004D498E">
        <w:rPr>
          <w:rFonts w:ascii="Garamond" w:hAnsi="Garamond"/>
        </w:rPr>
        <w:t>auj</w:t>
      </w:r>
      <w:proofErr w:type="spellEnd"/>
      <w:r w:rsidR="004D498E">
        <w:rPr>
          <w:rFonts w:ascii="Garamond" w:hAnsi="Garamond"/>
        </w:rPr>
        <w:t xml:space="preserve"> : nouvel article 1182 </w:t>
      </w:r>
    </w:p>
    <w:p w14:paraId="00EF2FEC" w14:textId="77777777" w:rsidR="004D498E" w:rsidRPr="006B70E5" w:rsidRDefault="004D498E" w:rsidP="006B70E5">
      <w:pPr>
        <w:pStyle w:val="Pardeliste"/>
        <w:numPr>
          <w:ilvl w:val="0"/>
          <w:numId w:val="1"/>
        </w:numPr>
        <w:jc w:val="both"/>
        <w:rPr>
          <w:rFonts w:ascii="Garamond" w:hAnsi="Garamond"/>
        </w:rPr>
      </w:pPr>
    </w:p>
    <w:p w14:paraId="7D6BFBC5" w14:textId="137E73E1" w:rsidR="000E3D06" w:rsidRPr="00B07598" w:rsidRDefault="000E3D06" w:rsidP="00B07598">
      <w:pPr>
        <w:pStyle w:val="Pardeliste"/>
        <w:numPr>
          <w:ilvl w:val="0"/>
          <w:numId w:val="5"/>
        </w:numPr>
        <w:jc w:val="both"/>
        <w:rPr>
          <w:rFonts w:ascii="Garamond" w:hAnsi="Garamond"/>
          <w:b/>
        </w:rPr>
      </w:pPr>
      <w:r w:rsidRPr="00B07598">
        <w:rPr>
          <w:rFonts w:ascii="Garamond" w:hAnsi="Garamond"/>
          <w:b/>
        </w:rPr>
        <w:t xml:space="preserve">La </w:t>
      </w:r>
      <w:r w:rsidR="00A650EB">
        <w:rPr>
          <w:rFonts w:ascii="Garamond" w:hAnsi="Garamond"/>
          <w:b/>
        </w:rPr>
        <w:t>portée</w:t>
      </w:r>
      <w:r w:rsidRPr="00B07598">
        <w:rPr>
          <w:rFonts w:ascii="Garamond" w:hAnsi="Garamond"/>
          <w:b/>
        </w:rPr>
        <w:t xml:space="preserve"> de la distinction du régime de nullité applicable </w:t>
      </w:r>
    </w:p>
    <w:p w14:paraId="4E84EBC6" w14:textId="77777777" w:rsidR="000E3D06" w:rsidRDefault="000E3D06" w:rsidP="00B07598">
      <w:pPr>
        <w:jc w:val="both"/>
        <w:rPr>
          <w:rFonts w:ascii="Garamond" w:hAnsi="Garamond"/>
        </w:rPr>
      </w:pPr>
    </w:p>
    <w:p w14:paraId="31555F87" w14:textId="5D7ACB4D" w:rsidR="000E3D06" w:rsidRPr="00594CE0" w:rsidRDefault="00A650EB" w:rsidP="00B07598">
      <w:pPr>
        <w:pStyle w:val="Pardeliste"/>
        <w:numPr>
          <w:ilvl w:val="0"/>
          <w:numId w:val="8"/>
        </w:numPr>
        <w:jc w:val="both"/>
        <w:rPr>
          <w:rFonts w:ascii="Garamond" w:hAnsi="Garamond"/>
          <w:b/>
          <w:i/>
        </w:rPr>
      </w:pPr>
      <w:r>
        <w:rPr>
          <w:rFonts w:ascii="Garamond" w:hAnsi="Garamond"/>
          <w:b/>
          <w:i/>
        </w:rPr>
        <w:t xml:space="preserve">Les difficultés encourues par la consécration de la théorie moderne </w:t>
      </w:r>
    </w:p>
    <w:p w14:paraId="23D27B3A" w14:textId="77777777" w:rsidR="007F657E" w:rsidRDefault="007F657E" w:rsidP="007F657E">
      <w:pPr>
        <w:jc w:val="both"/>
        <w:rPr>
          <w:rFonts w:ascii="Garamond" w:hAnsi="Garamond"/>
        </w:rPr>
      </w:pPr>
    </w:p>
    <w:p w14:paraId="3AC458F2" w14:textId="6F4911EA" w:rsidR="007F657E" w:rsidRDefault="00A650EB" w:rsidP="00A650EB">
      <w:pPr>
        <w:pStyle w:val="Pardeliste"/>
        <w:numPr>
          <w:ilvl w:val="0"/>
          <w:numId w:val="1"/>
        </w:numPr>
        <w:jc w:val="both"/>
        <w:rPr>
          <w:rFonts w:ascii="Garamond" w:hAnsi="Garamond"/>
        </w:rPr>
      </w:pPr>
      <w:r>
        <w:rPr>
          <w:rFonts w:ascii="Garamond" w:hAnsi="Garamond"/>
        </w:rPr>
        <w:t xml:space="preserve">Cela tient essentiellement dans l’imprécision de la délimitation des intérêts général/privé </w:t>
      </w:r>
    </w:p>
    <w:p w14:paraId="4D451BD1" w14:textId="28A137A2" w:rsidR="00A650EB" w:rsidRDefault="00A650EB" w:rsidP="00A650EB">
      <w:pPr>
        <w:pStyle w:val="Pardeliste"/>
        <w:numPr>
          <w:ilvl w:val="0"/>
          <w:numId w:val="1"/>
        </w:numPr>
        <w:jc w:val="both"/>
        <w:rPr>
          <w:rFonts w:ascii="Garamond" w:hAnsi="Garamond"/>
        </w:rPr>
      </w:pPr>
      <w:r>
        <w:rPr>
          <w:rFonts w:ascii="Garamond" w:hAnsi="Garamond"/>
        </w:rPr>
        <w:t>Parfois les règles peuvent tout à fait protéger les deux (ex règles droit de la consommation ; PRC)</w:t>
      </w:r>
    </w:p>
    <w:p w14:paraId="64338C7B" w14:textId="3BF5F113" w:rsidR="00A650EB" w:rsidRDefault="00A650EB" w:rsidP="00A650EB">
      <w:pPr>
        <w:pStyle w:val="Pardeliste"/>
        <w:numPr>
          <w:ilvl w:val="0"/>
          <w:numId w:val="1"/>
        </w:numPr>
        <w:jc w:val="both"/>
        <w:rPr>
          <w:rFonts w:ascii="Garamond" w:hAnsi="Garamond"/>
        </w:rPr>
      </w:pPr>
      <w:r>
        <w:rPr>
          <w:rFonts w:ascii="Garamond" w:hAnsi="Garamond"/>
        </w:rPr>
        <w:t xml:space="preserve">On l’a dit, la réforme a consacré la théorie moderne, et est censée avoir remédié à cette question : il s’agir d’une NR dans le cas où « seul » l’intérêt particulier est protégé. En somme, si IG en jeu </w:t>
      </w:r>
      <w:r w:rsidRPr="00A650EB">
        <w:rPr>
          <w:rFonts w:ascii="Garamond" w:hAnsi="Garamond"/>
        </w:rPr>
        <w:sym w:font="Wingdings" w:char="F0E8"/>
      </w:r>
      <w:r>
        <w:rPr>
          <w:rFonts w:ascii="Garamond" w:hAnsi="Garamond"/>
        </w:rPr>
        <w:t xml:space="preserve"> NA ( ce qui semblait plus favorable au régime de la NA) . Sauf que JP pas aussi précise que cela : </w:t>
      </w:r>
    </w:p>
    <w:p w14:paraId="3695D0F1" w14:textId="61F8712A" w:rsidR="00A650EB" w:rsidRDefault="00A650EB" w:rsidP="00A650EB">
      <w:pPr>
        <w:pStyle w:val="Pardeliste"/>
        <w:numPr>
          <w:ilvl w:val="1"/>
          <w:numId w:val="1"/>
        </w:numPr>
        <w:jc w:val="both"/>
        <w:rPr>
          <w:rFonts w:ascii="Garamond" w:hAnsi="Garamond"/>
        </w:rPr>
      </w:pPr>
      <w:r>
        <w:rPr>
          <w:rFonts w:ascii="Garamond" w:hAnsi="Garamond"/>
        </w:rPr>
        <w:t xml:space="preserve">Ch. Mixte, 24 FEV 2017 / </w:t>
      </w:r>
      <w:proofErr w:type="spellStart"/>
      <w:r>
        <w:rPr>
          <w:rFonts w:ascii="Garamond" w:hAnsi="Garamond"/>
        </w:rPr>
        <w:t>Civ</w:t>
      </w:r>
      <w:proofErr w:type="spellEnd"/>
      <w:r>
        <w:rPr>
          <w:rFonts w:ascii="Garamond" w:hAnsi="Garamond"/>
        </w:rPr>
        <w:t>. 1</w:t>
      </w:r>
      <w:r w:rsidRPr="00A650EB">
        <w:rPr>
          <w:rFonts w:ascii="Garamond" w:hAnsi="Garamond"/>
          <w:vertAlign w:val="superscript"/>
        </w:rPr>
        <w:t>ère</w:t>
      </w:r>
      <w:r>
        <w:rPr>
          <w:rFonts w:ascii="Garamond" w:hAnsi="Garamond"/>
        </w:rPr>
        <w:t xml:space="preserve">, 20 septembre 2017 : qui se dispensent du « seul » afin de prononcer une NR puisqu’un IP est en jeu </w:t>
      </w:r>
    </w:p>
    <w:p w14:paraId="2BD47E47" w14:textId="77777777" w:rsidR="00A650EB" w:rsidRDefault="00A650EB" w:rsidP="00A650EB">
      <w:pPr>
        <w:pStyle w:val="Pardeliste"/>
        <w:numPr>
          <w:ilvl w:val="1"/>
          <w:numId w:val="1"/>
        </w:numPr>
        <w:jc w:val="both"/>
        <w:rPr>
          <w:rFonts w:ascii="Garamond" w:hAnsi="Garamond"/>
        </w:rPr>
      </w:pPr>
      <w:proofErr w:type="spellStart"/>
      <w:r>
        <w:rPr>
          <w:rFonts w:ascii="Garamond" w:hAnsi="Garamond"/>
        </w:rPr>
        <w:t>Civ</w:t>
      </w:r>
      <w:proofErr w:type="spellEnd"/>
      <w:r>
        <w:rPr>
          <w:rFonts w:ascii="Garamond" w:hAnsi="Garamond"/>
        </w:rPr>
        <w:t xml:space="preserve"> 3</w:t>
      </w:r>
      <w:r w:rsidRPr="00A650EB">
        <w:rPr>
          <w:rFonts w:ascii="Garamond" w:hAnsi="Garamond"/>
          <w:vertAlign w:val="superscript"/>
        </w:rPr>
        <w:t>ème</w:t>
      </w:r>
      <w:r>
        <w:rPr>
          <w:rFonts w:ascii="Garamond" w:hAnsi="Garamond"/>
        </w:rPr>
        <w:t xml:space="preserve"> 4 octobre 2018 : aucune prise en considération de l’IG qui pourtant était bien présent : retient une NR.</w:t>
      </w:r>
    </w:p>
    <w:p w14:paraId="2587B35B" w14:textId="11FD42BC" w:rsidR="00A650EB" w:rsidRPr="00A650EB" w:rsidRDefault="00A650EB" w:rsidP="00A650EB">
      <w:pPr>
        <w:pStyle w:val="Pardeliste"/>
        <w:numPr>
          <w:ilvl w:val="0"/>
          <w:numId w:val="1"/>
        </w:numPr>
        <w:jc w:val="both"/>
        <w:rPr>
          <w:rFonts w:ascii="Garamond" w:hAnsi="Garamond"/>
        </w:rPr>
      </w:pPr>
      <w:r>
        <w:rPr>
          <w:rFonts w:ascii="Garamond" w:hAnsi="Garamond"/>
        </w:rPr>
        <w:t xml:space="preserve"> </w:t>
      </w:r>
    </w:p>
    <w:p w14:paraId="66D3B6D7" w14:textId="406F8534" w:rsidR="000E3D06" w:rsidRPr="00594CE0" w:rsidRDefault="00B07598" w:rsidP="00B07598">
      <w:pPr>
        <w:pStyle w:val="Pardeliste"/>
        <w:numPr>
          <w:ilvl w:val="0"/>
          <w:numId w:val="8"/>
        </w:numPr>
        <w:jc w:val="both"/>
        <w:rPr>
          <w:rFonts w:ascii="Garamond" w:hAnsi="Garamond"/>
          <w:b/>
          <w:i/>
        </w:rPr>
      </w:pPr>
      <w:r w:rsidRPr="00594CE0">
        <w:rPr>
          <w:rFonts w:ascii="Garamond" w:hAnsi="Garamond"/>
          <w:b/>
          <w:i/>
        </w:rPr>
        <w:t xml:space="preserve">Une distinction </w:t>
      </w:r>
      <w:r w:rsidR="00A650EB">
        <w:rPr>
          <w:rFonts w:ascii="Garamond" w:hAnsi="Garamond"/>
          <w:b/>
          <w:i/>
        </w:rPr>
        <w:t xml:space="preserve">des délais de prescription finalement </w:t>
      </w:r>
      <w:r w:rsidRPr="00594CE0">
        <w:rPr>
          <w:rFonts w:ascii="Garamond" w:hAnsi="Garamond"/>
          <w:b/>
          <w:i/>
        </w:rPr>
        <w:t>gommée</w:t>
      </w:r>
      <w:r w:rsidR="000E3D06" w:rsidRPr="00594CE0">
        <w:rPr>
          <w:rFonts w:ascii="Garamond" w:hAnsi="Garamond"/>
          <w:b/>
          <w:i/>
        </w:rPr>
        <w:t xml:space="preserve"> </w:t>
      </w:r>
    </w:p>
    <w:p w14:paraId="4DF1316B" w14:textId="77777777" w:rsidR="00B07598" w:rsidRDefault="00B07598" w:rsidP="00B07598">
      <w:pPr>
        <w:jc w:val="both"/>
        <w:rPr>
          <w:rFonts w:ascii="Garamond" w:hAnsi="Garamond"/>
        </w:rPr>
      </w:pPr>
    </w:p>
    <w:p w14:paraId="27C12FA1" w14:textId="77777777" w:rsidR="00A650EB" w:rsidRDefault="00A650EB" w:rsidP="00A650EB">
      <w:pPr>
        <w:pStyle w:val="Pardeliste"/>
        <w:numPr>
          <w:ilvl w:val="0"/>
          <w:numId w:val="1"/>
        </w:numPr>
        <w:jc w:val="both"/>
        <w:rPr>
          <w:rFonts w:ascii="Garamond" w:hAnsi="Garamond"/>
        </w:rPr>
      </w:pPr>
      <w:r>
        <w:rPr>
          <w:rFonts w:ascii="Garamond" w:hAnsi="Garamond"/>
        </w:rPr>
        <w:t>Ancien délai pour NA :</w:t>
      </w:r>
    </w:p>
    <w:p w14:paraId="394CEB29" w14:textId="77777777" w:rsidR="00A650EB" w:rsidRDefault="00A650EB" w:rsidP="00A650EB">
      <w:pPr>
        <w:pStyle w:val="Pardeliste"/>
        <w:numPr>
          <w:ilvl w:val="0"/>
          <w:numId w:val="1"/>
        </w:numPr>
        <w:jc w:val="both"/>
        <w:rPr>
          <w:rFonts w:ascii="Garamond" w:hAnsi="Garamond"/>
        </w:rPr>
      </w:pPr>
      <w:r>
        <w:rPr>
          <w:rFonts w:ascii="Garamond" w:hAnsi="Garamond"/>
        </w:rPr>
        <w:t>Ancien délai pour NR :</w:t>
      </w:r>
      <w:bookmarkStart w:id="0" w:name="_GoBack"/>
      <w:bookmarkEnd w:id="0"/>
    </w:p>
    <w:p w14:paraId="1155E865" w14:textId="3E732C70" w:rsidR="00A650EB" w:rsidRPr="00A650EB" w:rsidRDefault="00A650EB" w:rsidP="00B07598">
      <w:pPr>
        <w:pStyle w:val="Pardeliste"/>
        <w:numPr>
          <w:ilvl w:val="0"/>
          <w:numId w:val="1"/>
        </w:numPr>
        <w:jc w:val="both"/>
        <w:rPr>
          <w:rFonts w:ascii="Garamond" w:hAnsi="Garamond"/>
        </w:rPr>
      </w:pPr>
      <w:r>
        <w:rPr>
          <w:rFonts w:ascii="Garamond" w:hAnsi="Garamond"/>
        </w:rPr>
        <w:t xml:space="preserve">Justification de la distinction par l’ampleur des intérêts en cause </w:t>
      </w:r>
      <w:r w:rsidRPr="007F657E">
        <w:rPr>
          <w:rFonts w:ascii="Garamond" w:hAnsi="Garamond"/>
        </w:rPr>
        <w:sym w:font="Wingdings" w:char="F0E8"/>
      </w:r>
      <w:r>
        <w:rPr>
          <w:rFonts w:ascii="Garamond" w:hAnsi="Garamond"/>
        </w:rPr>
        <w:t xml:space="preserve"> en somme le mode d’emploi conféré par la chambre commerciale apparaît tout particulièrement pertinent car il affecte directement la recevabilité de l’assignation. </w:t>
      </w:r>
    </w:p>
    <w:p w14:paraId="23A1D75B" w14:textId="3968860F" w:rsidR="00B07598" w:rsidRDefault="00B07598" w:rsidP="00B07598">
      <w:pPr>
        <w:pStyle w:val="Pardeliste"/>
        <w:numPr>
          <w:ilvl w:val="0"/>
          <w:numId w:val="1"/>
        </w:numPr>
        <w:jc w:val="both"/>
        <w:rPr>
          <w:rFonts w:ascii="Garamond" w:hAnsi="Garamond"/>
        </w:rPr>
      </w:pPr>
      <w:r>
        <w:rPr>
          <w:rFonts w:ascii="Garamond" w:hAnsi="Garamond"/>
        </w:rPr>
        <w:t>Réforme du 17 juin 2008 a unifié les délais de prescriptions qu’ils soient en matière de nullité relative ou de nullité absolue. Autrement dit, l’apport de la solution tel que posé par les juges en 2016 n’a que peu d’intérêt pratique désormais</w:t>
      </w:r>
    </w:p>
    <w:p w14:paraId="1BDE4778" w14:textId="076D1821" w:rsidR="00B07598" w:rsidRDefault="00B07598" w:rsidP="00B07598">
      <w:pPr>
        <w:pStyle w:val="Pardeliste"/>
        <w:numPr>
          <w:ilvl w:val="0"/>
          <w:numId w:val="1"/>
        </w:numPr>
        <w:jc w:val="both"/>
        <w:rPr>
          <w:rFonts w:ascii="Garamond" w:hAnsi="Garamond"/>
        </w:rPr>
      </w:pPr>
      <w:r>
        <w:rPr>
          <w:rFonts w:ascii="Garamond" w:hAnsi="Garamond"/>
        </w:rPr>
        <w:t>Il n’en demeure pas moins que l’on peut se réjouir que la Cour rappelle encore la distinction des régimes qui, malgré une prescription uniformisée, conserve toujours un réel intérêt thé</w:t>
      </w:r>
      <w:r w:rsidR="0050364B">
        <w:rPr>
          <w:rFonts w:ascii="Garamond" w:hAnsi="Garamond"/>
        </w:rPr>
        <w:t>orique (et même pratique en ce qui concerne les titulaires de l’action)</w:t>
      </w:r>
    </w:p>
    <w:p w14:paraId="6B74AFED" w14:textId="5D807341" w:rsidR="007F657E" w:rsidRPr="00B07598" w:rsidRDefault="007F657E" w:rsidP="00B07598">
      <w:pPr>
        <w:pStyle w:val="Pardeliste"/>
        <w:numPr>
          <w:ilvl w:val="0"/>
          <w:numId w:val="1"/>
        </w:numPr>
        <w:jc w:val="both"/>
        <w:rPr>
          <w:rFonts w:ascii="Garamond" w:hAnsi="Garamond"/>
        </w:rPr>
      </w:pPr>
      <w:r>
        <w:rPr>
          <w:rFonts w:ascii="Garamond" w:hAnsi="Garamond"/>
        </w:rPr>
        <w:t xml:space="preserve">Nouvel article 1179 (post ordo 2016) : </w:t>
      </w:r>
    </w:p>
    <w:p w14:paraId="2FDD66FB" w14:textId="77777777" w:rsidR="00350124" w:rsidRPr="00350124" w:rsidRDefault="00350124" w:rsidP="00B07598">
      <w:pPr>
        <w:jc w:val="both"/>
        <w:rPr>
          <w:rFonts w:ascii="Garamond" w:hAnsi="Garamond"/>
        </w:rPr>
      </w:pPr>
    </w:p>
    <w:p w14:paraId="5BC47D9A" w14:textId="77777777" w:rsidR="00350124" w:rsidRPr="00350124" w:rsidRDefault="00350124" w:rsidP="00B07598">
      <w:pPr>
        <w:jc w:val="both"/>
        <w:rPr>
          <w:rFonts w:ascii="Garamond" w:hAnsi="Garamond"/>
        </w:rPr>
      </w:pPr>
    </w:p>
    <w:sectPr w:rsidR="00350124" w:rsidRPr="00350124" w:rsidSect="000A2CA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827B0"/>
    <w:multiLevelType w:val="hybridMultilevel"/>
    <w:tmpl w:val="9BFCB2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B6111A6"/>
    <w:multiLevelType w:val="hybridMultilevel"/>
    <w:tmpl w:val="8F78900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5AD2706"/>
    <w:multiLevelType w:val="hybridMultilevel"/>
    <w:tmpl w:val="60E8388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995263B"/>
    <w:multiLevelType w:val="hybridMultilevel"/>
    <w:tmpl w:val="41A82E9C"/>
    <w:lvl w:ilvl="0" w:tplc="4CBE8D2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F0C4898"/>
    <w:multiLevelType w:val="hybridMultilevel"/>
    <w:tmpl w:val="0EC4D2F6"/>
    <w:lvl w:ilvl="0" w:tplc="AC441B20">
      <w:start w:val="1"/>
      <w:numFmt w:val="bullet"/>
      <w:lvlText w:val="-"/>
      <w:lvlJc w:val="left"/>
      <w:pPr>
        <w:ind w:left="720" w:hanging="360"/>
      </w:pPr>
      <w:rPr>
        <w:rFonts w:ascii="Garamond" w:eastAsiaTheme="minorHAnsi" w:hAnsi="Garamond"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B0D4D39"/>
    <w:multiLevelType w:val="hybridMultilevel"/>
    <w:tmpl w:val="28C470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369772F"/>
    <w:multiLevelType w:val="hybridMultilevel"/>
    <w:tmpl w:val="0DFA934C"/>
    <w:lvl w:ilvl="0" w:tplc="87008A8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53B25B7"/>
    <w:multiLevelType w:val="hybridMultilevel"/>
    <w:tmpl w:val="F01E3B9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1"/>
  </w:num>
  <w:num w:numId="5">
    <w:abstractNumId w:val="3"/>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5F"/>
    <w:rsid w:val="000141CE"/>
    <w:rsid w:val="000337CE"/>
    <w:rsid w:val="000A2CAA"/>
    <w:rsid w:val="000E3D06"/>
    <w:rsid w:val="00201BCA"/>
    <w:rsid w:val="002B2C7C"/>
    <w:rsid w:val="00350124"/>
    <w:rsid w:val="004D498E"/>
    <w:rsid w:val="004E72BC"/>
    <w:rsid w:val="0050364B"/>
    <w:rsid w:val="00537820"/>
    <w:rsid w:val="00594CE0"/>
    <w:rsid w:val="00691DC1"/>
    <w:rsid w:val="006B70E5"/>
    <w:rsid w:val="007F657E"/>
    <w:rsid w:val="009D31B5"/>
    <w:rsid w:val="00A650EB"/>
    <w:rsid w:val="00B07598"/>
    <w:rsid w:val="00B93FAF"/>
    <w:rsid w:val="00C1490D"/>
    <w:rsid w:val="00D2267F"/>
    <w:rsid w:val="00E96C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723DC9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E96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1292</Words>
  <Characters>7110</Characters>
  <Application>Microsoft Macintosh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8386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8</cp:revision>
  <cp:lastPrinted>2019-11-14T21:20:00Z</cp:lastPrinted>
  <dcterms:created xsi:type="dcterms:W3CDTF">2019-11-13T14:06:00Z</dcterms:created>
  <dcterms:modified xsi:type="dcterms:W3CDTF">2019-11-25T09:38:00Z</dcterms:modified>
</cp:coreProperties>
</file>