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584F" w14:textId="4A0B563E" w:rsidR="00A46B8F" w:rsidRPr="0064290B" w:rsidRDefault="00A46B8F" w:rsidP="005B20CF">
      <w:pPr>
        <w:spacing w:line="360" w:lineRule="auto"/>
        <w:jc w:val="center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t>Le préjudice écologique</w:t>
      </w:r>
    </w:p>
    <w:p w14:paraId="68EAA40C" w14:textId="77777777" w:rsidR="00A46B8F" w:rsidRPr="0064290B" w:rsidRDefault="00A46B8F" w:rsidP="0064290B">
      <w:pPr>
        <w:spacing w:line="360" w:lineRule="auto"/>
        <w:jc w:val="both"/>
        <w:rPr>
          <w:rFonts w:ascii="Garamond" w:hAnsi="Garamond"/>
          <w:sz w:val="26"/>
          <w:szCs w:val="26"/>
        </w:rPr>
      </w:pPr>
    </w:p>
    <w:p w14:paraId="167B841F" w14:textId="77777777" w:rsidR="00A46B8F" w:rsidRPr="0064290B" w:rsidRDefault="00A46B8F" w:rsidP="0064290B">
      <w:pPr>
        <w:spacing w:line="360" w:lineRule="auto"/>
        <w:jc w:val="both"/>
        <w:rPr>
          <w:rFonts w:ascii="Garamond" w:hAnsi="Garamond"/>
          <w:sz w:val="26"/>
          <w:szCs w:val="26"/>
        </w:rPr>
      </w:pPr>
    </w:p>
    <w:p w14:paraId="570E9F2B" w14:textId="4BCCE9E1" w:rsidR="00A46B8F" w:rsidRPr="0064290B" w:rsidRDefault="00A46B8F" w:rsidP="0064290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t>Difficultés d’établissement du préjudice écologique</w:t>
      </w:r>
    </w:p>
    <w:p w14:paraId="05C990F8" w14:textId="48330BEB" w:rsidR="00A46B8F" w:rsidRPr="0064290B" w:rsidRDefault="00A46B8F" w:rsidP="0064290B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t xml:space="preserve">L’intérêt à agir ? </w:t>
      </w:r>
    </w:p>
    <w:p w14:paraId="31D67E34" w14:textId="7CE6F89F" w:rsidR="00A46B8F" w:rsidRPr="0064290B" w:rsidRDefault="00A46B8F" w:rsidP="0064290B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t>Préjudice personnel ?</w:t>
      </w:r>
    </w:p>
    <w:p w14:paraId="0A9D93C7" w14:textId="271B12DC" w:rsidR="00A46B8F" w:rsidRPr="0064290B" w:rsidRDefault="00A46B8F" w:rsidP="0064290B">
      <w:pPr>
        <w:pStyle w:val="Paragraphedeliste"/>
        <w:spacing w:line="360" w:lineRule="auto"/>
        <w:ind w:left="1440"/>
        <w:jc w:val="both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sym w:font="Wingdings" w:char="F0E8"/>
      </w:r>
      <w:r w:rsidRPr="0064290B">
        <w:rPr>
          <w:rFonts w:ascii="Garamond" w:hAnsi="Garamond"/>
          <w:sz w:val="26"/>
          <w:szCs w:val="26"/>
        </w:rPr>
        <w:t xml:space="preserve"> Indemnisation via répercussion sur victimes humaines </w:t>
      </w:r>
    </w:p>
    <w:p w14:paraId="0790745E" w14:textId="3AD03668" w:rsidR="00A46B8F" w:rsidRPr="0064290B" w:rsidRDefault="00A46B8F" w:rsidP="0064290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t xml:space="preserve">Les balbutiements </w:t>
      </w:r>
      <w:r w:rsidR="005B20CF">
        <w:rPr>
          <w:rFonts w:ascii="Garamond" w:hAnsi="Garamond"/>
          <w:sz w:val="26"/>
          <w:szCs w:val="26"/>
        </w:rPr>
        <w:t>JP</w:t>
      </w:r>
    </w:p>
    <w:p w14:paraId="454C9580" w14:textId="7FF8EF95" w:rsidR="00A46B8F" w:rsidRPr="0064290B" w:rsidRDefault="00A46B8F" w:rsidP="0064290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t xml:space="preserve">Affaire Erika : </w:t>
      </w:r>
    </w:p>
    <w:p w14:paraId="4B1C84BB" w14:textId="15B4B17A" w:rsidR="00A46B8F" w:rsidRPr="0064290B" w:rsidRDefault="00A46B8F" w:rsidP="0064290B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t>TGI Paris : autonomie du préjudice écologique ( distinct des préjudices patrimoniaux et extrapatrimoniaux)</w:t>
      </w:r>
    </w:p>
    <w:p w14:paraId="29EAA229" w14:textId="171DBD95" w:rsidR="00A46B8F" w:rsidRPr="0064290B" w:rsidRDefault="00A46B8F" w:rsidP="0064290B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t>CA Paris : préjudice écologique = préjudice objectif – définition du préjudice objectif par rapport aux préjudices subjectifs</w:t>
      </w:r>
    </w:p>
    <w:p w14:paraId="3B1D495E" w14:textId="59E2CFB9" w:rsidR="00A46B8F" w:rsidRPr="0064290B" w:rsidRDefault="00A46B8F" w:rsidP="0064290B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proofErr w:type="spellStart"/>
      <w:r w:rsidRPr="0064290B">
        <w:rPr>
          <w:rFonts w:ascii="Garamond" w:hAnsi="Garamond"/>
          <w:sz w:val="26"/>
          <w:szCs w:val="26"/>
        </w:rPr>
        <w:t>Crim</w:t>
      </w:r>
      <w:proofErr w:type="spellEnd"/>
      <w:r w:rsidRPr="0064290B">
        <w:rPr>
          <w:rFonts w:ascii="Garamond" w:hAnsi="Garamond"/>
          <w:sz w:val="26"/>
          <w:szCs w:val="26"/>
        </w:rPr>
        <w:t>. : confirme la réparation du préjudice écolo « consistant en l’atteinte directe ou indirecte portée à l’environnement et découlant de l’infraction »</w:t>
      </w:r>
    </w:p>
    <w:p w14:paraId="2FA8D310" w14:textId="6692CBB8" w:rsidR="00836880" w:rsidRPr="0064290B" w:rsidRDefault="00836880" w:rsidP="0064290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t>Critiques suite à Erika :</w:t>
      </w:r>
    </w:p>
    <w:p w14:paraId="58E75442" w14:textId="5972026F" w:rsidR="00836880" w:rsidRPr="0064290B" w:rsidRDefault="00836880" w:rsidP="0064290B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t>Le mode de réparation : confusion avec le préjudice moral subi personnellement en raison de l’interaction classique de l’être humain avec la nature</w:t>
      </w:r>
    </w:p>
    <w:p w14:paraId="3D170DED" w14:textId="67515D60" w:rsidR="00836880" w:rsidRPr="0064290B" w:rsidRDefault="00836880" w:rsidP="0064290B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t xml:space="preserve">Toujours sur le mode de réparation : confusion avec le préjudice économique </w:t>
      </w:r>
    </w:p>
    <w:p w14:paraId="142C5BE3" w14:textId="2059B064" w:rsidR="00836880" w:rsidRPr="0064290B" w:rsidRDefault="00836880" w:rsidP="0064290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t>Proposition nomenclature</w:t>
      </w:r>
      <w:r w:rsidR="0064290B" w:rsidRPr="0064290B">
        <w:rPr>
          <w:rFonts w:ascii="Garamond" w:hAnsi="Garamond"/>
          <w:sz w:val="26"/>
          <w:szCs w:val="26"/>
        </w:rPr>
        <w:t xml:space="preserve"> (à titre indicatif) : 4 chefs de préjudices dégagés </w:t>
      </w:r>
    </w:p>
    <w:p w14:paraId="43DE32CF" w14:textId="7BB091E9" w:rsidR="0064290B" w:rsidRPr="0064290B" w:rsidRDefault="0064290B" w:rsidP="0064290B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t xml:space="preserve">Préjudices pour atteintes aux sols et à leurs fonctions </w:t>
      </w:r>
    </w:p>
    <w:p w14:paraId="3F877703" w14:textId="31369FB8" w:rsidR="0064290B" w:rsidRPr="0064290B" w:rsidRDefault="0064290B" w:rsidP="0064290B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t xml:space="preserve">Préjudices pour atteinte à l’air ou à l’atmosphère et à leurs fonctions </w:t>
      </w:r>
    </w:p>
    <w:p w14:paraId="10B1236C" w14:textId="57269584" w:rsidR="0064290B" w:rsidRPr="0064290B" w:rsidRDefault="0064290B" w:rsidP="0064290B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t xml:space="preserve">Préjudice pour atteinte aux espèces et à leurs fonctions </w:t>
      </w:r>
    </w:p>
    <w:p w14:paraId="6190FEEB" w14:textId="3740F759" w:rsidR="0064290B" w:rsidRPr="0064290B" w:rsidRDefault="0064290B" w:rsidP="0064290B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t xml:space="preserve">Préjudice pour atteinte aux eaux, au milieux aquatiques et à leurs fonctions </w:t>
      </w:r>
    </w:p>
    <w:p w14:paraId="78A0A251" w14:textId="3A5AF58F" w:rsidR="0064290B" w:rsidRPr="0064290B" w:rsidRDefault="0064290B" w:rsidP="0064290B">
      <w:pPr>
        <w:pStyle w:val="Paragraphedeliste"/>
        <w:numPr>
          <w:ilvl w:val="2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t xml:space="preserve">À part : les préjudices causés à l’homme : </w:t>
      </w:r>
    </w:p>
    <w:p w14:paraId="50408162" w14:textId="26912F2C" w:rsidR="0064290B" w:rsidRPr="0064290B" w:rsidRDefault="0064290B" w:rsidP="0064290B">
      <w:pPr>
        <w:pStyle w:val="Paragraphedeliste"/>
        <w:numPr>
          <w:ilvl w:val="3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t>Les préjudices individuels : économiques et/ou moraux</w:t>
      </w:r>
    </w:p>
    <w:p w14:paraId="583E37AA" w14:textId="5C8CB66B" w:rsidR="0064290B" w:rsidRPr="0064290B" w:rsidRDefault="0064290B" w:rsidP="0064290B">
      <w:pPr>
        <w:pStyle w:val="Paragraphedeliste"/>
        <w:numPr>
          <w:ilvl w:val="3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t xml:space="preserve">Les préjudices collectifs </w:t>
      </w:r>
    </w:p>
    <w:p w14:paraId="3DA82571" w14:textId="55B8BF07" w:rsidR="0064290B" w:rsidRPr="0064290B" w:rsidRDefault="0064290B" w:rsidP="0064290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 w:rsidRPr="0064290B">
        <w:rPr>
          <w:rFonts w:ascii="Garamond" w:hAnsi="Garamond"/>
          <w:sz w:val="26"/>
          <w:szCs w:val="26"/>
        </w:rPr>
        <w:t xml:space="preserve">La nomenclature étant seulement indicative </w:t>
      </w:r>
      <w:r w:rsidRPr="0064290B">
        <w:rPr>
          <w:rFonts w:ascii="Garamond" w:hAnsi="Garamond"/>
          <w:sz w:val="26"/>
          <w:szCs w:val="26"/>
        </w:rPr>
        <w:sym w:font="Wingdings" w:char="F0E0"/>
      </w:r>
      <w:r w:rsidRPr="0064290B">
        <w:rPr>
          <w:rFonts w:ascii="Garamond" w:hAnsi="Garamond"/>
          <w:sz w:val="26"/>
          <w:szCs w:val="26"/>
        </w:rPr>
        <w:t xml:space="preserve"> nécessite d’une consécration législative : réforme du 16 août 2016 (loi n°2016-1087 sur la biodiversité) - travaux de la commission dirigée par le professeur </w:t>
      </w:r>
      <w:proofErr w:type="spellStart"/>
      <w:r w:rsidRPr="0064290B">
        <w:rPr>
          <w:rFonts w:ascii="Garamond" w:hAnsi="Garamond"/>
          <w:sz w:val="26"/>
          <w:szCs w:val="26"/>
        </w:rPr>
        <w:t>Jegouzo</w:t>
      </w:r>
      <w:proofErr w:type="spellEnd"/>
      <w:r w:rsidRPr="0064290B">
        <w:rPr>
          <w:rFonts w:ascii="Garamond" w:hAnsi="Garamond"/>
          <w:sz w:val="26"/>
          <w:szCs w:val="26"/>
        </w:rPr>
        <w:t xml:space="preserve"> </w:t>
      </w:r>
      <w:r w:rsidRPr="0064290B">
        <w:rPr>
          <w:rFonts w:ascii="Garamond" w:hAnsi="Garamond"/>
          <w:sz w:val="26"/>
          <w:szCs w:val="26"/>
        </w:rPr>
        <w:sym w:font="Wingdings" w:char="F0E8"/>
      </w:r>
      <w:r w:rsidRPr="0064290B">
        <w:rPr>
          <w:rFonts w:ascii="Garamond" w:hAnsi="Garamond"/>
          <w:sz w:val="26"/>
          <w:szCs w:val="26"/>
        </w:rPr>
        <w:t xml:space="preserve"> codification à l’article 1246 </w:t>
      </w:r>
      <w:r w:rsidRPr="0064290B">
        <w:rPr>
          <w:rFonts w:ascii="Garamond" w:hAnsi="Garamond"/>
          <w:sz w:val="26"/>
          <w:szCs w:val="26"/>
        </w:rPr>
        <w:lastRenderedPageBreak/>
        <w:t>du Code civil « </w:t>
      </w:r>
      <w:r w:rsidRPr="0064290B">
        <w:rPr>
          <w:rFonts w:ascii="Garamond" w:hAnsi="Garamond" w:cs="Arial"/>
          <w:color w:val="000000"/>
          <w:sz w:val="26"/>
          <w:szCs w:val="26"/>
          <w:shd w:val="clear" w:color="auto" w:fill="FFFFFF"/>
        </w:rPr>
        <w:t>Toute personne responsable d'un préjudice écologique est tenue de le réparer</w:t>
      </w:r>
      <w:r w:rsidRPr="0064290B">
        <w:rPr>
          <w:rFonts w:ascii="Garamond" w:hAnsi="Garamond" w:cs="Arial"/>
          <w:color w:val="000000"/>
          <w:sz w:val="26"/>
          <w:szCs w:val="26"/>
          <w:shd w:val="clear" w:color="auto" w:fill="FFFFFF"/>
        </w:rPr>
        <w:t xml:space="preserve"> » </w:t>
      </w:r>
      <w:r w:rsidRPr="0064290B">
        <w:rPr>
          <w:rFonts w:ascii="Garamond" w:hAnsi="Garamond" w:cs="Arial"/>
          <w:color w:val="000000"/>
          <w:sz w:val="26"/>
          <w:szCs w:val="26"/>
          <w:shd w:val="clear" w:color="auto" w:fill="FFFFFF"/>
        </w:rPr>
        <w:sym w:font="Wingdings" w:char="F0E0"/>
      </w:r>
      <w:r w:rsidRPr="0064290B">
        <w:rPr>
          <w:rFonts w:ascii="Garamond" w:hAnsi="Garamond" w:cs="Arial"/>
          <w:color w:val="000000"/>
          <w:sz w:val="26"/>
          <w:szCs w:val="26"/>
          <w:shd w:val="clear" w:color="auto" w:fill="FFFFFF"/>
        </w:rPr>
        <w:t xml:space="preserve"> juge désormais tenu à indemniser</w:t>
      </w:r>
    </w:p>
    <w:p w14:paraId="1EA4FE30" w14:textId="0B32C1BF" w:rsidR="0064290B" w:rsidRPr="0064290B" w:rsidRDefault="0064290B" w:rsidP="0064290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 w:cs="Arial"/>
          <w:color w:val="000000"/>
          <w:sz w:val="26"/>
          <w:szCs w:val="26"/>
          <w:shd w:val="clear" w:color="auto" w:fill="FFFFFF"/>
        </w:rPr>
        <w:t xml:space="preserve">Définition législative du préjudice écologique : art. 1247 : « une atteinte </w:t>
      </w:r>
      <w:r w:rsidRPr="006D6A22">
        <w:rPr>
          <w:rFonts w:ascii="Garamond" w:hAnsi="Garamond" w:cs="Arial"/>
          <w:i/>
          <w:iCs/>
          <w:color w:val="000000"/>
          <w:sz w:val="26"/>
          <w:szCs w:val="26"/>
          <w:shd w:val="clear" w:color="auto" w:fill="FFFFFF"/>
        </w:rPr>
        <w:t>non négligeable</w:t>
      </w:r>
      <w:r>
        <w:rPr>
          <w:rFonts w:ascii="Garamond" w:hAnsi="Garamond" w:cs="Arial"/>
          <w:color w:val="000000"/>
          <w:sz w:val="26"/>
          <w:szCs w:val="26"/>
          <w:shd w:val="clear" w:color="auto" w:fill="FFFFFF"/>
        </w:rPr>
        <w:t xml:space="preserve"> aux éléments ou aux fonctions des écosystèmes ou aux bénéfices collectifs tirés par l’homme de l’environnement » ( inspiration nomenclature)</w:t>
      </w:r>
    </w:p>
    <w:p w14:paraId="7C85B062" w14:textId="1C4D0371" w:rsidR="0064290B" w:rsidRDefault="0064290B" w:rsidP="0064290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Le régime : </w:t>
      </w:r>
    </w:p>
    <w:p w14:paraId="2DD2A85E" w14:textId="13C171C6" w:rsidR="0064290B" w:rsidRDefault="0064290B" w:rsidP="0064290B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Action en réparation distincte. Conditions : </w:t>
      </w:r>
    </w:p>
    <w:p w14:paraId="196F53DF" w14:textId="3DFEE48A" w:rsidR="0064290B" w:rsidRDefault="0064290B" w:rsidP="0064290B">
      <w:pPr>
        <w:pStyle w:val="Paragraphedeliste"/>
        <w:numPr>
          <w:ilvl w:val="2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Art. 1248 : Qualité et intérêt à agir ( liste non limitative : État, Office français de la biodiversité, collectivités territoriales et leurs groupements, établissements publics et les associations agréées…)</w:t>
      </w:r>
    </w:p>
    <w:p w14:paraId="65472F00" w14:textId="1383C74F" w:rsidR="0064290B" w:rsidRDefault="005B20CF" w:rsidP="0064290B">
      <w:pPr>
        <w:pStyle w:val="Paragraphedeliste"/>
        <w:numPr>
          <w:ilvl w:val="2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Art. 1249 : Réparation en priorité en nature. Par défaut ( impossibilité de droit ou de fait ou par insuffisance) : dommages et intérêts affectés à la réparation de l’environnement ( au profit du demandeur ou à l’État si ce dernier est plus enclin à mettre en place lesdites mesures de réparation). Priorité à la réparation en nature : démontre l’absence de profit envers l’Homme. Même chose pour le fait que le demandeur ne bénéficiera pas, personnellement, des DI qui doivent être nécessairement affectés à la réparation. </w:t>
      </w:r>
    </w:p>
    <w:p w14:paraId="1D14D8B4" w14:textId="77777777" w:rsidR="005B20CF" w:rsidRDefault="005B20CF" w:rsidP="005B20CF">
      <w:pPr>
        <w:spacing w:line="360" w:lineRule="auto"/>
        <w:jc w:val="both"/>
        <w:rPr>
          <w:rFonts w:ascii="Garamond" w:hAnsi="Garamond"/>
          <w:sz w:val="26"/>
          <w:szCs w:val="26"/>
        </w:rPr>
      </w:pPr>
    </w:p>
    <w:p w14:paraId="3FBCECE0" w14:textId="3B9EE560" w:rsidR="005B20CF" w:rsidRDefault="005B20CF" w:rsidP="005B20C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Quid du triptyque classique ? </w:t>
      </w:r>
    </w:p>
    <w:p w14:paraId="7649B3DC" w14:textId="3A897581" w:rsidR="005B20CF" w:rsidRDefault="005B20CF" w:rsidP="005B20CF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Le fait générateur : pas de disposition spéciale </w:t>
      </w:r>
      <w:r w:rsidRPr="005B20CF">
        <w:rPr>
          <w:rFonts w:ascii="Garamond" w:hAnsi="Garamond"/>
          <w:sz w:val="26"/>
          <w:szCs w:val="26"/>
        </w:rPr>
        <w:sym w:font="Wingdings" w:char="F0E0"/>
      </w:r>
      <w:r>
        <w:rPr>
          <w:rFonts w:ascii="Garamond" w:hAnsi="Garamond"/>
          <w:sz w:val="26"/>
          <w:szCs w:val="26"/>
        </w:rPr>
        <w:t xml:space="preserve"> recours au droit commun et notion de faute délictuelle</w:t>
      </w:r>
      <w:r w:rsidR="00FF335C">
        <w:rPr>
          <w:rFonts w:ascii="Garamond" w:hAnsi="Garamond"/>
          <w:sz w:val="26"/>
          <w:szCs w:val="26"/>
        </w:rPr>
        <w:t xml:space="preserve"> OU de garde OU de fait d’autrui ( qui sont les 3 faits générateurs courant en matière de RCD)</w:t>
      </w:r>
      <w:r w:rsidR="006D6A22">
        <w:rPr>
          <w:rFonts w:ascii="Garamond" w:hAnsi="Garamond"/>
          <w:sz w:val="26"/>
          <w:szCs w:val="26"/>
        </w:rPr>
        <w:t xml:space="preserve"> </w:t>
      </w:r>
      <w:r w:rsidR="006D6A22" w:rsidRPr="006D6A22">
        <w:rPr>
          <w:rFonts w:ascii="Garamond" w:hAnsi="Garamond"/>
          <w:sz w:val="26"/>
          <w:szCs w:val="26"/>
        </w:rPr>
        <w:sym w:font="Wingdings" w:char="F0E8"/>
      </w:r>
      <w:r w:rsidR="006D6A22">
        <w:rPr>
          <w:rFonts w:ascii="Garamond" w:hAnsi="Garamond"/>
          <w:sz w:val="26"/>
          <w:szCs w:val="26"/>
        </w:rPr>
        <w:t xml:space="preserve"> pas nécessairement besoin d’une faute ! </w:t>
      </w:r>
    </w:p>
    <w:p w14:paraId="78C0E0A5" w14:textId="70E2ACF5" w:rsidR="006D6A22" w:rsidRDefault="006D6A22" w:rsidP="005B20CF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Le préjudice : pas de caractère personnel ! Cf. art 1247 (définition dérogatoire au droit commun) : </w:t>
      </w:r>
    </w:p>
    <w:p w14:paraId="27EADBFA" w14:textId="3369A1FA" w:rsidR="006D6A22" w:rsidRDefault="006D6A22" w:rsidP="006D6A22">
      <w:pPr>
        <w:pStyle w:val="Paragraphedeliste"/>
        <w:numPr>
          <w:ilvl w:val="2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Atteinte non négligeable : </w:t>
      </w:r>
      <w:proofErr w:type="spellStart"/>
      <w:r>
        <w:rPr>
          <w:rFonts w:ascii="Garamond" w:hAnsi="Garamond"/>
          <w:sz w:val="26"/>
          <w:szCs w:val="26"/>
        </w:rPr>
        <w:t>cf</w:t>
      </w:r>
      <w:proofErr w:type="spellEnd"/>
      <w:r>
        <w:rPr>
          <w:rFonts w:ascii="Garamond" w:hAnsi="Garamond"/>
          <w:sz w:val="26"/>
          <w:szCs w:val="26"/>
        </w:rPr>
        <w:t xml:space="preserve"> art. L161-1 c. </w:t>
      </w:r>
      <w:proofErr w:type="spellStart"/>
      <w:r>
        <w:rPr>
          <w:rFonts w:ascii="Garamond" w:hAnsi="Garamond"/>
          <w:sz w:val="26"/>
          <w:szCs w:val="26"/>
        </w:rPr>
        <w:t>envir</w:t>
      </w:r>
      <w:proofErr w:type="spellEnd"/>
      <w:r>
        <w:rPr>
          <w:rFonts w:ascii="Garamond" w:hAnsi="Garamond"/>
          <w:sz w:val="26"/>
          <w:szCs w:val="26"/>
        </w:rPr>
        <w:t xml:space="preserve"> qui se réfère à la gravité de l’atteinte. ATTENTION : CC 5 </w:t>
      </w:r>
      <w:proofErr w:type="spellStart"/>
      <w:r>
        <w:rPr>
          <w:rFonts w:ascii="Garamond" w:hAnsi="Garamond"/>
          <w:sz w:val="26"/>
          <w:szCs w:val="26"/>
        </w:rPr>
        <w:t>fev</w:t>
      </w:r>
      <w:proofErr w:type="spellEnd"/>
      <w:r>
        <w:rPr>
          <w:rFonts w:ascii="Garamond" w:hAnsi="Garamond"/>
          <w:sz w:val="26"/>
          <w:szCs w:val="26"/>
        </w:rPr>
        <w:t xml:space="preserve"> 2021, DC n°2020-881 : caractère non négligeable : conformité à la constitution. ; </w:t>
      </w:r>
    </w:p>
    <w:p w14:paraId="02B9B146" w14:textId="3DF89D52" w:rsidR="006D6A22" w:rsidRDefault="006D6A22" w:rsidP="006D6A22">
      <w:pPr>
        <w:pStyle w:val="Paragraphedeliste"/>
        <w:numPr>
          <w:ilvl w:val="2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Lien avec nomenclature pour identification de l’atteinte. </w:t>
      </w:r>
    </w:p>
    <w:p w14:paraId="69B5851F" w14:textId="0CE9F819" w:rsidR="006D6A22" w:rsidRDefault="006D6A22" w:rsidP="006D6A22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Preuve : demandeur doit rapporter la preuve </w:t>
      </w:r>
      <w:r w:rsidRPr="006D6A22">
        <w:rPr>
          <w:rFonts w:ascii="Garamond" w:hAnsi="Garamond"/>
          <w:i/>
          <w:iCs/>
          <w:sz w:val="26"/>
          <w:szCs w:val="26"/>
        </w:rPr>
        <w:t>scientifique</w:t>
      </w:r>
      <w:r>
        <w:rPr>
          <w:rFonts w:ascii="Garamond" w:hAnsi="Garamond"/>
          <w:sz w:val="26"/>
          <w:szCs w:val="26"/>
        </w:rPr>
        <w:t xml:space="preserve"> . </w:t>
      </w:r>
    </w:p>
    <w:p w14:paraId="49B0B7AA" w14:textId="6B971B00" w:rsidR="006D6A22" w:rsidRDefault="006D6A22" w:rsidP="006D6A22">
      <w:pPr>
        <w:pStyle w:val="Paragraphedeliste"/>
        <w:spacing w:line="360" w:lineRule="auto"/>
        <w:ind w:left="1440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 xml:space="preserve">Sur la preuve de l’atteinte non négligeable à l’écosystème : </w:t>
      </w:r>
      <w:proofErr w:type="spellStart"/>
      <w:r>
        <w:rPr>
          <w:rFonts w:ascii="Garamond" w:hAnsi="Garamond"/>
          <w:b/>
          <w:bCs/>
          <w:sz w:val="26"/>
          <w:szCs w:val="26"/>
        </w:rPr>
        <w:t>cf</w:t>
      </w:r>
      <w:proofErr w:type="spellEnd"/>
      <w:r>
        <w:rPr>
          <w:rFonts w:ascii="Garamond" w:hAnsi="Garamond"/>
          <w:b/>
          <w:bCs/>
          <w:sz w:val="26"/>
          <w:szCs w:val="26"/>
        </w:rPr>
        <w:t xml:space="preserve"> TJ Marseille, 6 mars 2020</w:t>
      </w:r>
      <w:r>
        <w:rPr>
          <w:rFonts w:ascii="Garamond" w:hAnsi="Garamond"/>
          <w:sz w:val="26"/>
          <w:szCs w:val="26"/>
        </w:rPr>
        <w:t xml:space="preserve"> </w:t>
      </w:r>
      <w:r w:rsidR="008D6232">
        <w:rPr>
          <w:rFonts w:ascii="Garamond" w:hAnsi="Garamond"/>
          <w:sz w:val="26"/>
          <w:szCs w:val="26"/>
        </w:rPr>
        <w:t>(pt. 237 du recueil)</w:t>
      </w:r>
    </w:p>
    <w:p w14:paraId="33D75D90" w14:textId="77777777" w:rsidR="00D869CF" w:rsidRDefault="00D869CF" w:rsidP="006D6A22">
      <w:pPr>
        <w:pStyle w:val="Paragraphedeliste"/>
        <w:spacing w:line="360" w:lineRule="auto"/>
        <w:ind w:left="1440"/>
        <w:jc w:val="both"/>
        <w:rPr>
          <w:rFonts w:ascii="Garamond" w:hAnsi="Garamond"/>
          <w:sz w:val="26"/>
          <w:szCs w:val="26"/>
        </w:rPr>
      </w:pPr>
    </w:p>
    <w:p w14:paraId="26178DF8" w14:textId="66714B77" w:rsidR="00D869CF" w:rsidRDefault="00D869CF" w:rsidP="006D6A22">
      <w:pPr>
        <w:pStyle w:val="Paragraphedeliste"/>
        <w:spacing w:line="360" w:lineRule="auto"/>
        <w:ind w:left="1440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Référence à la nomenclature validée par le 3</w:t>
      </w:r>
      <w:r w:rsidRPr="00D869CF">
        <w:rPr>
          <w:rFonts w:ascii="Garamond" w:hAnsi="Garamond"/>
          <w:sz w:val="26"/>
          <w:szCs w:val="26"/>
          <w:vertAlign w:val="superscript"/>
        </w:rPr>
        <w:t>ème</w:t>
      </w:r>
      <w:r>
        <w:rPr>
          <w:rFonts w:ascii="Garamond" w:hAnsi="Garamond"/>
          <w:sz w:val="26"/>
          <w:szCs w:val="26"/>
        </w:rPr>
        <w:t xml:space="preserve"> civ : meilleure cohérence  en termes de réparation</w:t>
      </w:r>
    </w:p>
    <w:p w14:paraId="5F0D6874" w14:textId="77777777" w:rsidR="006D6A22" w:rsidRDefault="006D6A22" w:rsidP="006D6A22">
      <w:pPr>
        <w:pStyle w:val="Paragraphedeliste"/>
        <w:spacing w:line="360" w:lineRule="auto"/>
        <w:ind w:left="1440"/>
        <w:jc w:val="both"/>
        <w:rPr>
          <w:rFonts w:ascii="Garamond" w:hAnsi="Garamond"/>
          <w:sz w:val="26"/>
          <w:szCs w:val="26"/>
        </w:rPr>
      </w:pPr>
    </w:p>
    <w:p w14:paraId="6AC3F619" w14:textId="4BE28BDC" w:rsidR="00D869CF" w:rsidRDefault="00D869CF" w:rsidP="00D869CF">
      <w:pPr>
        <w:pStyle w:val="Paragraphedeliste"/>
        <w:spacing w:line="360" w:lineRule="auto"/>
        <w:ind w:left="0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Introduction : Réparation des atteintes à l’environnement historiquement fondée sur le droit commun de la responsabilité. Art. 1240 </w:t>
      </w:r>
      <w:r w:rsidRPr="00D869CF">
        <w:rPr>
          <w:rFonts w:ascii="Garamond" w:hAnsi="Garamond"/>
          <w:sz w:val="26"/>
          <w:szCs w:val="26"/>
        </w:rPr>
        <w:sym w:font="Wingdings" w:char="F0E0"/>
      </w:r>
      <w:r>
        <w:rPr>
          <w:rFonts w:ascii="Garamond" w:hAnsi="Garamond"/>
          <w:sz w:val="26"/>
          <w:szCs w:val="26"/>
        </w:rPr>
        <w:t xml:space="preserve"> préjudice/FG et lien de causalité </w:t>
      </w:r>
    </w:p>
    <w:p w14:paraId="520B3DBE" w14:textId="3314233E" w:rsidR="00D869CF" w:rsidRDefault="00D869CF" w:rsidP="00D869CF">
      <w:pPr>
        <w:pStyle w:val="Paragraphedeliste"/>
        <w:spacing w:line="360" w:lineRule="auto"/>
        <w:ind w:left="0"/>
        <w:jc w:val="both"/>
        <w:rPr>
          <w:rFonts w:ascii="Garamond" w:hAnsi="Garamond"/>
          <w:sz w:val="26"/>
          <w:szCs w:val="26"/>
        </w:rPr>
      </w:pPr>
      <w:r w:rsidRPr="00D869CF">
        <w:rPr>
          <w:rFonts w:ascii="Garamond" w:hAnsi="Garamond"/>
          <w:sz w:val="26"/>
          <w:szCs w:val="26"/>
        </w:rPr>
        <w:sym w:font="Wingdings" w:char="F0E0"/>
      </w:r>
      <w:r>
        <w:rPr>
          <w:rFonts w:ascii="Garamond" w:hAnsi="Garamond"/>
          <w:sz w:val="26"/>
          <w:szCs w:val="26"/>
        </w:rPr>
        <w:t xml:space="preserve"> Préjudice direct/certain/personnel – démonstration surtout d’une faute</w:t>
      </w:r>
    </w:p>
    <w:p w14:paraId="4E21F31E" w14:textId="77777777" w:rsidR="00D869CF" w:rsidRDefault="00D869CF" w:rsidP="00D869CF">
      <w:pPr>
        <w:pStyle w:val="Paragraphedeliste"/>
        <w:spacing w:line="360" w:lineRule="auto"/>
        <w:ind w:left="0"/>
        <w:jc w:val="both"/>
        <w:rPr>
          <w:rFonts w:ascii="Garamond" w:hAnsi="Garamond"/>
          <w:sz w:val="26"/>
          <w:szCs w:val="26"/>
        </w:rPr>
      </w:pPr>
    </w:p>
    <w:p w14:paraId="5B0479DD" w14:textId="77777777" w:rsidR="00A47A04" w:rsidRDefault="00A47A04" w:rsidP="00D869CF">
      <w:pPr>
        <w:pStyle w:val="Paragraphedeliste"/>
        <w:spacing w:line="360" w:lineRule="auto"/>
        <w:ind w:left="0"/>
        <w:jc w:val="both"/>
        <w:rPr>
          <w:rFonts w:ascii="Garamond" w:hAnsi="Garamond"/>
          <w:sz w:val="26"/>
          <w:szCs w:val="26"/>
        </w:rPr>
      </w:pPr>
    </w:p>
    <w:p w14:paraId="5CF6020C" w14:textId="46A112A8" w:rsidR="00A47A04" w:rsidRDefault="00A47A04" w:rsidP="00D869CF">
      <w:pPr>
        <w:pStyle w:val="Paragraphedeliste"/>
        <w:spacing w:line="360" w:lineRule="auto"/>
        <w:ind w:left="0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Proposition de plan «  Le préjudice écologique »</w:t>
      </w:r>
    </w:p>
    <w:p w14:paraId="69BD6B84" w14:textId="77777777" w:rsidR="00A47A04" w:rsidRDefault="00A47A04" w:rsidP="00D869CF">
      <w:pPr>
        <w:pStyle w:val="Paragraphedeliste"/>
        <w:spacing w:line="360" w:lineRule="auto"/>
        <w:ind w:left="0"/>
        <w:jc w:val="both"/>
        <w:rPr>
          <w:rFonts w:ascii="Garamond" w:hAnsi="Garamond"/>
          <w:sz w:val="26"/>
          <w:szCs w:val="26"/>
        </w:rPr>
      </w:pPr>
    </w:p>
    <w:p w14:paraId="6D74DC92" w14:textId="5506EC89" w:rsidR="00A47A04" w:rsidRPr="004F209E" w:rsidRDefault="00A47A04" w:rsidP="00A47A04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aramond" w:hAnsi="Garamond"/>
          <w:b/>
          <w:bCs/>
          <w:sz w:val="26"/>
          <w:szCs w:val="26"/>
          <w:u w:val="single"/>
        </w:rPr>
      </w:pPr>
      <w:r w:rsidRPr="00C12929">
        <w:rPr>
          <w:rFonts w:ascii="Garamond" w:hAnsi="Garamond"/>
          <w:b/>
          <w:bCs/>
          <w:sz w:val="26"/>
          <w:szCs w:val="26"/>
          <w:u w:val="single"/>
        </w:rPr>
        <w:t xml:space="preserve">Les difficultés entourant la reconnaissance du préjudice écologique </w:t>
      </w:r>
    </w:p>
    <w:p w14:paraId="08B86AF8" w14:textId="77777777" w:rsidR="00A47A04" w:rsidRDefault="00A47A04" w:rsidP="00A47A04">
      <w:pPr>
        <w:spacing w:line="360" w:lineRule="auto"/>
        <w:jc w:val="both"/>
        <w:rPr>
          <w:rFonts w:ascii="Garamond" w:hAnsi="Garamond"/>
          <w:sz w:val="26"/>
          <w:szCs w:val="26"/>
        </w:rPr>
      </w:pPr>
    </w:p>
    <w:p w14:paraId="79D8C1AA" w14:textId="3EA3EB2E" w:rsidR="00A47A04" w:rsidRDefault="00A47A04" w:rsidP="00A47A04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Le rappel des caractéristiques du préjudice réparable</w:t>
      </w:r>
    </w:p>
    <w:p w14:paraId="6BBDC092" w14:textId="77777777" w:rsidR="00A47A04" w:rsidRPr="00A47A04" w:rsidRDefault="00A47A04" w:rsidP="00A47A04">
      <w:pPr>
        <w:spacing w:line="360" w:lineRule="auto"/>
        <w:jc w:val="both"/>
        <w:rPr>
          <w:rFonts w:ascii="Garamond" w:hAnsi="Garamond"/>
          <w:sz w:val="26"/>
          <w:szCs w:val="26"/>
        </w:rPr>
      </w:pPr>
    </w:p>
    <w:p w14:paraId="650B3A8B" w14:textId="7C10BEFB" w:rsidR="00A47A04" w:rsidRDefault="00A47A04" w:rsidP="00A47A04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Le confusion subséquente des postes de préjudices </w:t>
      </w:r>
    </w:p>
    <w:p w14:paraId="067A3E2E" w14:textId="77777777" w:rsidR="00A47A04" w:rsidRPr="00A47A04" w:rsidRDefault="00A47A04" w:rsidP="00A47A04">
      <w:pPr>
        <w:spacing w:line="360" w:lineRule="auto"/>
        <w:jc w:val="both"/>
        <w:rPr>
          <w:rFonts w:ascii="Garamond" w:hAnsi="Garamond"/>
          <w:sz w:val="26"/>
          <w:szCs w:val="26"/>
        </w:rPr>
      </w:pPr>
    </w:p>
    <w:p w14:paraId="1D6D53D8" w14:textId="47419E60" w:rsidR="00A47A04" w:rsidRPr="00C12929" w:rsidRDefault="00A47A04" w:rsidP="00A47A04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Garamond" w:hAnsi="Garamond"/>
          <w:b/>
          <w:bCs/>
          <w:sz w:val="26"/>
          <w:szCs w:val="26"/>
          <w:u w:val="single"/>
        </w:rPr>
      </w:pPr>
      <w:r w:rsidRPr="00C12929">
        <w:rPr>
          <w:rFonts w:ascii="Garamond" w:hAnsi="Garamond"/>
          <w:b/>
          <w:bCs/>
          <w:sz w:val="26"/>
          <w:szCs w:val="26"/>
          <w:u w:val="single"/>
        </w:rPr>
        <w:t xml:space="preserve">L’établissement législatif d’un préjudice écologique distinct </w:t>
      </w:r>
    </w:p>
    <w:p w14:paraId="42B8F3D4" w14:textId="77777777" w:rsidR="00A47A04" w:rsidRDefault="00A47A04" w:rsidP="00A47A04">
      <w:pPr>
        <w:spacing w:line="360" w:lineRule="auto"/>
        <w:jc w:val="both"/>
        <w:rPr>
          <w:rFonts w:ascii="Garamond" w:hAnsi="Garamond"/>
          <w:sz w:val="26"/>
          <w:szCs w:val="26"/>
        </w:rPr>
      </w:pPr>
    </w:p>
    <w:p w14:paraId="53BB824B" w14:textId="6A12D9E7" w:rsidR="00A47A04" w:rsidRDefault="00A47A04" w:rsidP="00A47A04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Une consécration législative nécessaire</w:t>
      </w:r>
      <w:r w:rsidR="004F209E">
        <w:rPr>
          <w:rFonts w:ascii="Garamond" w:hAnsi="Garamond"/>
          <w:sz w:val="26"/>
          <w:szCs w:val="26"/>
        </w:rPr>
        <w:t xml:space="preserve"> (définition du préjudice écologique + action distincte)</w:t>
      </w:r>
    </w:p>
    <w:p w14:paraId="6E22C1AB" w14:textId="77777777" w:rsidR="00A47A04" w:rsidRPr="00C12929" w:rsidRDefault="00A47A04" w:rsidP="00C12929">
      <w:pPr>
        <w:spacing w:line="360" w:lineRule="auto"/>
        <w:jc w:val="both"/>
        <w:rPr>
          <w:rFonts w:ascii="Garamond" w:hAnsi="Garamond"/>
          <w:sz w:val="26"/>
          <w:szCs w:val="26"/>
        </w:rPr>
      </w:pPr>
    </w:p>
    <w:p w14:paraId="486CD0ED" w14:textId="7D3AD17F" w:rsidR="004F209E" w:rsidRPr="004618AE" w:rsidRDefault="00A47A04" w:rsidP="004618AE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Une mise en application délicate </w:t>
      </w:r>
      <w:r w:rsidR="004F209E">
        <w:rPr>
          <w:rFonts w:ascii="Garamond" w:hAnsi="Garamond"/>
          <w:sz w:val="26"/>
          <w:szCs w:val="26"/>
        </w:rPr>
        <w:t>( modes de réparation)</w:t>
      </w:r>
    </w:p>
    <w:p w14:paraId="250192E3" w14:textId="0A625627" w:rsidR="004F209E" w:rsidRDefault="004F209E" w:rsidP="004F209E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4F209E">
        <w:rPr>
          <w:rFonts w:ascii="Garamond" w:hAnsi="Garamond"/>
          <w:sz w:val="26"/>
          <w:szCs w:val="26"/>
        </w:rPr>
        <w:sym w:font="Wingdings" w:char="F0E0"/>
      </w:r>
      <w:r>
        <w:rPr>
          <w:rFonts w:ascii="Garamond" w:hAnsi="Garamond"/>
          <w:sz w:val="26"/>
          <w:szCs w:val="26"/>
        </w:rPr>
        <w:t xml:space="preserve"> Nomenclature</w:t>
      </w:r>
    </w:p>
    <w:p w14:paraId="1B34DC41" w14:textId="1589183B" w:rsidR="004F209E" w:rsidRDefault="004F209E" w:rsidP="004F209E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4F209E">
        <w:rPr>
          <w:rFonts w:ascii="Garamond" w:hAnsi="Garamond"/>
          <w:sz w:val="26"/>
          <w:szCs w:val="26"/>
        </w:rPr>
        <w:sym w:font="Wingdings" w:char="F0E0"/>
      </w:r>
      <w:r>
        <w:rPr>
          <w:rFonts w:ascii="Garamond" w:hAnsi="Garamond"/>
          <w:sz w:val="26"/>
          <w:szCs w:val="26"/>
        </w:rPr>
        <w:t xml:space="preserve"> Mode de réparation : nature à privilégier mais en pratique… « droit de polluer » ? </w:t>
      </w:r>
    </w:p>
    <w:p w14:paraId="2D87030C" w14:textId="6662157B" w:rsidR="004F209E" w:rsidRDefault="004F209E" w:rsidP="004F209E">
      <w:pPr>
        <w:spacing w:line="36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Attention : distinction préjudices dérivés et préjudice écologique dit « pur »</w:t>
      </w:r>
    </w:p>
    <w:p w14:paraId="159F9E17" w14:textId="7A2252F3" w:rsidR="004F209E" w:rsidRDefault="00561874" w:rsidP="004F209E">
      <w:pPr>
        <w:spacing w:line="36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Complément des deux pt. 254 ( art 1259 projet de réforme)</w:t>
      </w:r>
    </w:p>
    <w:p w14:paraId="3BF79CAC" w14:textId="0DB639E2" w:rsidR="00561874" w:rsidRDefault="00561874" w:rsidP="004F209E">
      <w:pPr>
        <w:spacing w:line="36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Préjudices individuels ou collectifs ( pt.259 et 260)</w:t>
      </w:r>
    </w:p>
    <w:p w14:paraId="36513DBC" w14:textId="43A47862" w:rsidR="00561874" w:rsidRDefault="00561874" w:rsidP="004F209E">
      <w:pPr>
        <w:spacing w:line="36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Difficultés d’évaluation. Ex Erika – préjudice moral d’une asso (pt. 261)</w:t>
      </w:r>
    </w:p>
    <w:p w14:paraId="534159B3" w14:textId="631B8F60" w:rsidR="00A47A04" w:rsidRPr="00A47A04" w:rsidRDefault="004618AE" w:rsidP="00A47A04">
      <w:pPr>
        <w:spacing w:line="36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Quid en cas de non affectation par le demandeur ? </w:t>
      </w:r>
    </w:p>
    <w:sectPr w:rsidR="00A47A04" w:rsidRPr="00A47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1CBA"/>
    <w:multiLevelType w:val="hybridMultilevel"/>
    <w:tmpl w:val="A274CBD4"/>
    <w:lvl w:ilvl="0" w:tplc="6604033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E7A14"/>
    <w:multiLevelType w:val="hybridMultilevel"/>
    <w:tmpl w:val="738659A6"/>
    <w:lvl w:ilvl="0" w:tplc="86A4E2E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36867"/>
    <w:multiLevelType w:val="hybridMultilevel"/>
    <w:tmpl w:val="D1927A7C"/>
    <w:lvl w:ilvl="0" w:tplc="0090DCD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82EB9"/>
    <w:multiLevelType w:val="hybridMultilevel"/>
    <w:tmpl w:val="74EA97DA"/>
    <w:lvl w:ilvl="0" w:tplc="3782C11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086248">
    <w:abstractNumId w:val="2"/>
  </w:num>
  <w:num w:numId="2" w16cid:durableId="420874697">
    <w:abstractNumId w:val="3"/>
  </w:num>
  <w:num w:numId="3" w16cid:durableId="914585946">
    <w:abstractNumId w:val="0"/>
  </w:num>
  <w:num w:numId="4" w16cid:durableId="1240562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8F"/>
    <w:rsid w:val="004618AE"/>
    <w:rsid w:val="004F209E"/>
    <w:rsid w:val="00561874"/>
    <w:rsid w:val="005B20CF"/>
    <w:rsid w:val="0064290B"/>
    <w:rsid w:val="006D6A22"/>
    <w:rsid w:val="00836880"/>
    <w:rsid w:val="008D6232"/>
    <w:rsid w:val="00A46B8F"/>
    <w:rsid w:val="00A47A04"/>
    <w:rsid w:val="00C12929"/>
    <w:rsid w:val="00D869CF"/>
    <w:rsid w:val="00EA3453"/>
    <w:rsid w:val="00FF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8C5971"/>
  <w15:chartTrackingRefBased/>
  <w15:docId w15:val="{A05AB117-B7AC-E244-91C6-3F952986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6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3</Pages>
  <Words>727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Dutheil</dc:creator>
  <cp:keywords/>
  <dc:description/>
  <cp:lastModifiedBy>Camille Dutheil</cp:lastModifiedBy>
  <cp:revision>5</cp:revision>
  <cp:lastPrinted>2024-02-20T08:25:00Z</cp:lastPrinted>
  <dcterms:created xsi:type="dcterms:W3CDTF">2024-02-15T15:35:00Z</dcterms:created>
  <dcterms:modified xsi:type="dcterms:W3CDTF">2024-02-20T10:53:00Z</dcterms:modified>
</cp:coreProperties>
</file>