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7ADCB" w14:textId="77777777" w:rsidR="008A3457" w:rsidRDefault="008D2274" w:rsidP="008D2274">
      <w:pPr>
        <w:jc w:val="center"/>
        <w:rPr>
          <w:rFonts w:ascii="Garamond" w:hAnsi="Garamond" w:cs="Times New Roman"/>
          <w:b/>
        </w:rPr>
      </w:pPr>
      <w:r w:rsidRPr="008D2274">
        <w:rPr>
          <w:rFonts w:ascii="Garamond" w:hAnsi="Garamond" w:cs="Times New Roman"/>
          <w:b/>
        </w:rPr>
        <w:t>DROIT DES OBLIGATIONS</w:t>
      </w:r>
    </w:p>
    <w:p w14:paraId="2B40B52D" w14:textId="29381E74" w:rsidR="003875EC" w:rsidRPr="008D2274" w:rsidRDefault="003875EC" w:rsidP="008D2274">
      <w:pPr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LA PHASE PRÉCONTRACTUELLE</w:t>
      </w:r>
    </w:p>
    <w:p w14:paraId="5625BF35" w14:textId="77777777" w:rsidR="008D2274" w:rsidRPr="008D2274" w:rsidRDefault="008D2274">
      <w:pPr>
        <w:rPr>
          <w:rFonts w:ascii="Garamond" w:hAnsi="Garamond" w:cs="Times New Roman"/>
        </w:rPr>
      </w:pPr>
    </w:p>
    <w:p w14:paraId="01254793" w14:textId="77777777" w:rsidR="008D2274" w:rsidRPr="008D2274" w:rsidRDefault="008D2274" w:rsidP="00DD298B">
      <w:pPr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8D2274">
        <w:rPr>
          <w:rFonts w:ascii="Garamond" w:hAnsi="Garamond" w:cs="Times New Roman"/>
          <w:b/>
          <w:sz w:val="28"/>
          <w:szCs w:val="28"/>
          <w:u w:val="single"/>
        </w:rPr>
        <w:t xml:space="preserve">I - L’offre &amp; l’acceptation </w:t>
      </w:r>
    </w:p>
    <w:p w14:paraId="0E37746C" w14:textId="77777777" w:rsidR="008D2274" w:rsidRDefault="008D2274" w:rsidP="00DD298B">
      <w:pPr>
        <w:jc w:val="both"/>
        <w:rPr>
          <w:rFonts w:ascii="Garamond" w:hAnsi="Garamond" w:cs="Times New Roman"/>
        </w:rPr>
      </w:pPr>
    </w:p>
    <w:p w14:paraId="007A188C" w14:textId="77777777" w:rsidR="008D2274" w:rsidRDefault="00DD298B" w:rsidP="00DD298B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u w:val="single"/>
        </w:rPr>
        <w:t xml:space="preserve">Le postulat de </w:t>
      </w:r>
      <w:r w:rsidRPr="00DD298B">
        <w:rPr>
          <w:rFonts w:ascii="Garamond" w:hAnsi="Garamond" w:cs="Times New Roman"/>
          <w:u w:val="single"/>
        </w:rPr>
        <w:t>base </w:t>
      </w:r>
      <w:r>
        <w:rPr>
          <w:rFonts w:ascii="Garamond" w:hAnsi="Garamond" w:cs="Times New Roman"/>
        </w:rPr>
        <w:t>:</w:t>
      </w:r>
      <w:r w:rsidRPr="00DD298B">
        <w:rPr>
          <w:rFonts w:ascii="Garamond" w:hAnsi="Garamond" w:cs="Times New Roman"/>
        </w:rPr>
        <w:t>Le</w:t>
      </w:r>
      <w:r>
        <w:rPr>
          <w:rFonts w:ascii="Garamond" w:hAnsi="Garamond" w:cs="Times New Roman"/>
        </w:rPr>
        <w:t xml:space="preserve"> </w:t>
      </w:r>
      <w:r w:rsidRPr="00DD298B">
        <w:rPr>
          <w:rFonts w:ascii="Garamond" w:hAnsi="Garamond" w:cs="Times New Roman"/>
        </w:rPr>
        <w:t xml:space="preserve">principe du </w:t>
      </w:r>
      <w:r w:rsidRPr="00DD298B">
        <w:rPr>
          <w:rFonts w:ascii="Garamond" w:hAnsi="Garamond" w:cs="Times New Roman"/>
          <w:b/>
        </w:rPr>
        <w:t>consensualisme</w:t>
      </w:r>
      <w:r w:rsidRPr="00DD298B">
        <w:rPr>
          <w:rFonts w:ascii="Garamond" w:hAnsi="Garamond" w:cs="Times New Roman"/>
        </w:rPr>
        <w:t xml:space="preserve"> dicte, par principe, la </w:t>
      </w:r>
      <w:r>
        <w:rPr>
          <w:rFonts w:ascii="Garamond" w:hAnsi="Garamond" w:cs="Times New Roman"/>
        </w:rPr>
        <w:t>formation</w:t>
      </w:r>
      <w:r w:rsidRPr="00DD298B">
        <w:rPr>
          <w:rFonts w:ascii="Garamond" w:hAnsi="Garamond" w:cs="Times New Roman"/>
        </w:rPr>
        <w:t xml:space="preserve"> du contrat. Ainsi, hors hypothèse de contrats solennels, aucun formalisme particulier n’est requis : le simple échange des consentements vaut formation du contrat (art. 1172). </w:t>
      </w:r>
      <w:r>
        <w:rPr>
          <w:rFonts w:ascii="Garamond" w:hAnsi="Garamond" w:cs="Times New Roman"/>
        </w:rPr>
        <w:t>Si une offre</w:t>
      </w:r>
      <w:r w:rsidR="000216EB">
        <w:rPr>
          <w:rFonts w:ascii="Garamond" w:hAnsi="Garamond" w:cs="Times New Roman"/>
        </w:rPr>
        <w:t>, ou pollicitation,</w:t>
      </w:r>
      <w:r>
        <w:rPr>
          <w:rFonts w:ascii="Garamond" w:hAnsi="Garamond" w:cs="Times New Roman"/>
        </w:rPr>
        <w:t xml:space="preserve"> est formulée, sa rencontre avec l’acceptation conduira alors à la perfection du contrat. </w:t>
      </w:r>
    </w:p>
    <w:p w14:paraId="670C7282" w14:textId="77777777" w:rsidR="00DD298B" w:rsidRDefault="00DD298B" w:rsidP="00DD298B">
      <w:pPr>
        <w:jc w:val="both"/>
        <w:rPr>
          <w:rFonts w:ascii="Garamond" w:hAnsi="Garamond" w:cs="Times New Roman"/>
        </w:rPr>
      </w:pPr>
    </w:p>
    <w:p w14:paraId="6391DDE6" w14:textId="77777777" w:rsidR="00DD298B" w:rsidRPr="00DD298B" w:rsidRDefault="00DD298B" w:rsidP="00DD298B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u w:val="single"/>
        </w:rPr>
        <w:t>Les conséquences classiques </w:t>
      </w:r>
      <w:r>
        <w:rPr>
          <w:rFonts w:ascii="Garamond" w:hAnsi="Garamond" w:cs="Times New Roman"/>
        </w:rPr>
        <w:t xml:space="preserve">: traditionnellement, il est donc admis que l’offre est </w:t>
      </w:r>
      <w:r>
        <w:rPr>
          <w:rFonts w:ascii="Garamond" w:hAnsi="Garamond" w:cs="Times New Roman"/>
          <w:b/>
        </w:rPr>
        <w:t xml:space="preserve">librement révocable </w:t>
      </w:r>
      <w:r>
        <w:rPr>
          <w:rFonts w:ascii="Garamond" w:hAnsi="Garamond" w:cs="Times New Roman"/>
        </w:rPr>
        <w:t xml:space="preserve">tant que l’acceptation n’est pas intervenue. Néanmoins, la sécurité juridique des transactions a conduit la jurisprudence à encadrer la formalisation de l’offre et à préciser les conditions de sa révocation. Elle va donc distinguer selon que l’offre a été formulée avec, ou sans délai. L’ordonnance du 10 février 2016 prendra acte de cette distinction. </w:t>
      </w:r>
    </w:p>
    <w:p w14:paraId="6DFAA721" w14:textId="77777777" w:rsidR="008D2274" w:rsidRDefault="008D2274" w:rsidP="00DD298B">
      <w:pPr>
        <w:jc w:val="both"/>
        <w:rPr>
          <w:rFonts w:ascii="Garamond" w:hAnsi="Garamond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2"/>
        <w:gridCol w:w="3868"/>
        <w:gridCol w:w="3646"/>
      </w:tblGrid>
      <w:tr w:rsidR="003453A6" w14:paraId="1BFA02E3" w14:textId="77777777" w:rsidTr="002713C3">
        <w:tc>
          <w:tcPr>
            <w:tcW w:w="1542" w:type="dxa"/>
          </w:tcPr>
          <w:p w14:paraId="43EA9061" w14:textId="77777777" w:rsidR="00DD298B" w:rsidRDefault="00DD298B" w:rsidP="00DD298B">
            <w:pPr>
              <w:jc w:val="both"/>
              <w:rPr>
                <w:rFonts w:ascii="Garamond" w:hAnsi="Garamond" w:cs="Times New Roman"/>
              </w:rPr>
            </w:pPr>
          </w:p>
        </w:tc>
        <w:tc>
          <w:tcPr>
            <w:tcW w:w="3868" w:type="dxa"/>
          </w:tcPr>
          <w:p w14:paraId="18B1A897" w14:textId="77777777" w:rsidR="00DD298B" w:rsidRPr="00DD298B" w:rsidRDefault="00DD298B" w:rsidP="00DD298B">
            <w:pPr>
              <w:jc w:val="center"/>
              <w:rPr>
                <w:rFonts w:ascii="Garamond" w:hAnsi="Garamond" w:cs="Times New Roman"/>
                <w:b/>
              </w:rPr>
            </w:pPr>
            <w:r w:rsidRPr="00DD298B">
              <w:rPr>
                <w:rFonts w:ascii="Garamond" w:hAnsi="Garamond" w:cs="Times New Roman"/>
                <w:b/>
              </w:rPr>
              <w:t xml:space="preserve">Offre formulée </w:t>
            </w:r>
            <w:r w:rsidRPr="00DD298B">
              <w:rPr>
                <w:rFonts w:ascii="Garamond" w:hAnsi="Garamond" w:cs="Times New Roman"/>
                <w:b/>
                <w:u w:val="single"/>
              </w:rPr>
              <w:t>sans</w:t>
            </w:r>
            <w:r w:rsidRPr="00DD298B">
              <w:rPr>
                <w:rFonts w:ascii="Garamond" w:hAnsi="Garamond" w:cs="Times New Roman"/>
                <w:b/>
              </w:rPr>
              <w:t xml:space="preserve"> délai</w:t>
            </w:r>
          </w:p>
        </w:tc>
        <w:tc>
          <w:tcPr>
            <w:tcW w:w="3646" w:type="dxa"/>
          </w:tcPr>
          <w:p w14:paraId="729D6A0A" w14:textId="77777777" w:rsidR="00DD298B" w:rsidRPr="00DD298B" w:rsidRDefault="00DD298B" w:rsidP="00DD298B">
            <w:pPr>
              <w:jc w:val="center"/>
              <w:rPr>
                <w:rFonts w:ascii="Garamond" w:hAnsi="Garamond" w:cs="Times New Roman"/>
                <w:b/>
              </w:rPr>
            </w:pPr>
            <w:r w:rsidRPr="00DD298B">
              <w:rPr>
                <w:rFonts w:ascii="Garamond" w:hAnsi="Garamond" w:cs="Times New Roman"/>
                <w:b/>
              </w:rPr>
              <w:t xml:space="preserve">Offre formulée </w:t>
            </w:r>
            <w:r w:rsidRPr="00DD298B">
              <w:rPr>
                <w:rFonts w:ascii="Garamond" w:hAnsi="Garamond" w:cs="Times New Roman"/>
                <w:b/>
                <w:u w:val="single"/>
              </w:rPr>
              <w:t>avec</w:t>
            </w:r>
            <w:r w:rsidRPr="00DD298B">
              <w:rPr>
                <w:rFonts w:ascii="Garamond" w:hAnsi="Garamond" w:cs="Times New Roman"/>
                <w:b/>
              </w:rPr>
              <w:t xml:space="preserve"> délai</w:t>
            </w:r>
          </w:p>
        </w:tc>
      </w:tr>
      <w:tr w:rsidR="003453A6" w14:paraId="237F84B6" w14:textId="77777777" w:rsidTr="002713C3">
        <w:tc>
          <w:tcPr>
            <w:tcW w:w="1542" w:type="dxa"/>
          </w:tcPr>
          <w:p w14:paraId="614D7EAD" w14:textId="77777777" w:rsidR="000216EB" w:rsidRDefault="000216EB" w:rsidP="00DD298B">
            <w:pPr>
              <w:jc w:val="both"/>
              <w:rPr>
                <w:rFonts w:ascii="Garamond" w:hAnsi="Garamond" w:cs="Times New Roman"/>
                <w:b/>
              </w:rPr>
            </w:pPr>
          </w:p>
          <w:p w14:paraId="7501A63C" w14:textId="77777777" w:rsidR="000216EB" w:rsidRDefault="000216EB" w:rsidP="00DD298B">
            <w:pPr>
              <w:jc w:val="both"/>
              <w:rPr>
                <w:rFonts w:ascii="Garamond" w:hAnsi="Garamond" w:cs="Times New Roman"/>
                <w:b/>
              </w:rPr>
            </w:pPr>
          </w:p>
          <w:p w14:paraId="5B534182" w14:textId="77777777" w:rsidR="000216EB" w:rsidRDefault="000216EB" w:rsidP="00DD298B">
            <w:pPr>
              <w:jc w:val="both"/>
              <w:rPr>
                <w:rFonts w:ascii="Garamond" w:hAnsi="Garamond" w:cs="Times New Roman"/>
                <w:b/>
              </w:rPr>
            </w:pPr>
          </w:p>
          <w:p w14:paraId="2404FFDB" w14:textId="77777777" w:rsidR="000216EB" w:rsidRDefault="000216EB" w:rsidP="00DD298B">
            <w:pPr>
              <w:jc w:val="both"/>
              <w:rPr>
                <w:rFonts w:ascii="Garamond" w:hAnsi="Garamond" w:cs="Times New Roman"/>
                <w:b/>
              </w:rPr>
            </w:pPr>
          </w:p>
          <w:p w14:paraId="6ED8300D" w14:textId="77777777" w:rsidR="000216EB" w:rsidRDefault="000216EB" w:rsidP="00DD298B">
            <w:pPr>
              <w:jc w:val="both"/>
              <w:rPr>
                <w:rFonts w:ascii="Garamond" w:hAnsi="Garamond" w:cs="Times New Roman"/>
                <w:b/>
              </w:rPr>
            </w:pPr>
          </w:p>
          <w:p w14:paraId="76B8451A" w14:textId="77777777" w:rsidR="000216EB" w:rsidRDefault="000216EB" w:rsidP="00DD298B">
            <w:pPr>
              <w:jc w:val="both"/>
              <w:rPr>
                <w:rFonts w:ascii="Garamond" w:hAnsi="Garamond" w:cs="Times New Roman"/>
                <w:b/>
              </w:rPr>
            </w:pPr>
          </w:p>
          <w:p w14:paraId="163FE352" w14:textId="77777777" w:rsidR="000216EB" w:rsidRDefault="000216EB" w:rsidP="00DD298B">
            <w:pPr>
              <w:jc w:val="both"/>
              <w:rPr>
                <w:rFonts w:ascii="Garamond" w:hAnsi="Garamond" w:cs="Times New Roman"/>
                <w:b/>
              </w:rPr>
            </w:pPr>
          </w:p>
          <w:p w14:paraId="2C00716B" w14:textId="77777777" w:rsidR="00DD298B" w:rsidRPr="00DD298B" w:rsidRDefault="00DD298B" w:rsidP="00DD298B">
            <w:pPr>
              <w:jc w:val="both"/>
              <w:rPr>
                <w:rFonts w:ascii="Garamond" w:hAnsi="Garamond" w:cs="Times New Roman"/>
                <w:b/>
              </w:rPr>
            </w:pPr>
            <w:r w:rsidRPr="00DD298B">
              <w:rPr>
                <w:rFonts w:ascii="Garamond" w:hAnsi="Garamond" w:cs="Times New Roman"/>
                <w:b/>
              </w:rPr>
              <w:t xml:space="preserve">JP avant l’ordonnance de 2016 </w:t>
            </w:r>
          </w:p>
        </w:tc>
        <w:tc>
          <w:tcPr>
            <w:tcW w:w="3868" w:type="dxa"/>
          </w:tcPr>
          <w:p w14:paraId="280BEB4B" w14:textId="77777777" w:rsidR="00DD298B" w:rsidRDefault="00DD298B" w:rsidP="00DD298B">
            <w:pPr>
              <w:jc w:val="both"/>
              <w:rPr>
                <w:rFonts w:ascii="Garamond" w:hAnsi="Garamond" w:cs="Times New Roman"/>
              </w:rPr>
            </w:pPr>
          </w:p>
          <w:p w14:paraId="6C4E526B" w14:textId="77777777" w:rsidR="000216EB" w:rsidRDefault="000216EB" w:rsidP="00DD298B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Une distinction était établie : </w:t>
            </w:r>
          </w:p>
          <w:p w14:paraId="13BCB93A" w14:textId="77777777" w:rsidR="000216EB" w:rsidRDefault="000216EB" w:rsidP="000216EB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Si l’offre est faite au public : </w:t>
            </w:r>
            <w:r w:rsidR="003453A6">
              <w:rPr>
                <w:rFonts w:ascii="Garamond" w:hAnsi="Garamond" w:cs="Times New Roman"/>
              </w:rPr>
              <w:t>rétractation</w:t>
            </w:r>
            <w:r>
              <w:rPr>
                <w:rFonts w:ascii="Garamond" w:hAnsi="Garamond" w:cs="Times New Roman"/>
              </w:rPr>
              <w:t xml:space="preserve"> libre </w:t>
            </w:r>
          </w:p>
          <w:p w14:paraId="4A1A9E57" w14:textId="77777777" w:rsidR="000216EB" w:rsidRDefault="000216EB" w:rsidP="000216EB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Si l’offre est destinée à une personne en particulier : les juges ont dégagé l’idée d’un </w:t>
            </w:r>
            <w:r w:rsidRPr="000216EB">
              <w:rPr>
                <w:rFonts w:ascii="Garamond" w:hAnsi="Garamond" w:cs="Times New Roman"/>
                <w:b/>
              </w:rPr>
              <w:t>délai</w:t>
            </w:r>
            <w:r>
              <w:rPr>
                <w:rFonts w:ascii="Garamond" w:hAnsi="Garamond" w:cs="Times New Roman"/>
              </w:rPr>
              <w:t xml:space="preserve"> </w:t>
            </w:r>
            <w:r w:rsidRPr="000216EB">
              <w:rPr>
                <w:rFonts w:ascii="Garamond" w:hAnsi="Garamond" w:cs="Times New Roman"/>
                <w:b/>
              </w:rPr>
              <w:t>raisonnable</w:t>
            </w:r>
            <w:r>
              <w:rPr>
                <w:rFonts w:ascii="Garamond" w:hAnsi="Garamond" w:cs="Times New Roman"/>
              </w:rPr>
              <w:t xml:space="preserve"> durant lequel l’offrant devait maintenir son offre (</w:t>
            </w:r>
            <w:r>
              <w:rPr>
                <w:rFonts w:ascii="Garamond" w:hAnsi="Garamond" w:cs="Times New Roman"/>
                <w:i/>
              </w:rPr>
              <w:t>cf théorie de l’engagement unilatéral)</w:t>
            </w:r>
            <w:r>
              <w:rPr>
                <w:rFonts w:ascii="Garamond" w:hAnsi="Garamond" w:cs="Times New Roman"/>
              </w:rPr>
              <w:t xml:space="preserve">. L’appréciation du </w:t>
            </w:r>
            <w:r>
              <w:rPr>
                <w:rFonts w:ascii="Garamond" w:hAnsi="Garamond" w:cs="Times New Roman"/>
                <w:i/>
              </w:rPr>
              <w:t>quantum</w:t>
            </w:r>
            <w:r>
              <w:rPr>
                <w:rFonts w:ascii="Garamond" w:hAnsi="Garamond" w:cs="Times New Roman"/>
              </w:rPr>
              <w:t xml:space="preserve"> de ce délai est dès lors réservée aux juges du fond. </w:t>
            </w:r>
          </w:p>
          <w:p w14:paraId="7A395940" w14:textId="77777777" w:rsidR="000216EB" w:rsidRDefault="000216EB" w:rsidP="000216EB">
            <w:pPr>
              <w:pStyle w:val="Pardeliste"/>
              <w:jc w:val="both"/>
              <w:rPr>
                <w:rFonts w:ascii="Garamond" w:hAnsi="Garamond" w:cs="Times New Roman"/>
                <w:i/>
              </w:rPr>
            </w:pPr>
            <w:r>
              <w:rPr>
                <w:rFonts w:ascii="Garamond" w:hAnsi="Garamond" w:cs="Times New Roman"/>
              </w:rPr>
              <w:t xml:space="preserve">(v. notamment </w:t>
            </w:r>
            <w:r>
              <w:rPr>
                <w:rFonts w:ascii="Garamond" w:hAnsi="Garamond" w:cs="Times New Roman"/>
                <w:i/>
              </w:rPr>
              <w:t>civ. 3</w:t>
            </w:r>
            <w:r w:rsidRPr="000216EB">
              <w:rPr>
                <w:rFonts w:ascii="Garamond" w:hAnsi="Garamond" w:cs="Times New Roman"/>
                <w:i/>
                <w:vertAlign w:val="superscript"/>
              </w:rPr>
              <w:t>e</w:t>
            </w:r>
            <w:r>
              <w:rPr>
                <w:rFonts w:ascii="Garamond" w:hAnsi="Garamond" w:cs="Times New Roman"/>
                <w:i/>
              </w:rPr>
              <w:t>, 22 avril 1958 ;civ. 3</w:t>
            </w:r>
            <w:r w:rsidRPr="000216EB">
              <w:rPr>
                <w:rFonts w:ascii="Garamond" w:hAnsi="Garamond" w:cs="Times New Roman"/>
                <w:i/>
                <w:vertAlign w:val="superscript"/>
              </w:rPr>
              <w:t>ème</w:t>
            </w:r>
            <w:r>
              <w:rPr>
                <w:rFonts w:ascii="Garamond" w:hAnsi="Garamond" w:cs="Times New Roman"/>
                <w:i/>
              </w:rPr>
              <w:t>, 20 mai 1992 ; civ. 3</w:t>
            </w:r>
            <w:r w:rsidRPr="000216EB">
              <w:rPr>
                <w:rFonts w:ascii="Garamond" w:hAnsi="Garamond" w:cs="Times New Roman"/>
                <w:i/>
                <w:vertAlign w:val="superscript"/>
              </w:rPr>
              <w:t>ème</w:t>
            </w:r>
            <w:r>
              <w:rPr>
                <w:rFonts w:ascii="Garamond" w:hAnsi="Garamond" w:cs="Times New Roman"/>
                <w:i/>
              </w:rPr>
              <w:t xml:space="preserve"> 20 mai 2009) </w:t>
            </w:r>
          </w:p>
          <w:p w14:paraId="0521F0CD" w14:textId="77777777" w:rsidR="000216EB" w:rsidRPr="000216EB" w:rsidRDefault="000216EB" w:rsidP="000216EB">
            <w:pPr>
              <w:pStyle w:val="Pardeliste"/>
              <w:jc w:val="both"/>
              <w:rPr>
                <w:rFonts w:ascii="Garamond" w:hAnsi="Garamond" w:cs="Times New Roman"/>
                <w:i/>
              </w:rPr>
            </w:pPr>
          </w:p>
        </w:tc>
        <w:tc>
          <w:tcPr>
            <w:tcW w:w="3646" w:type="dxa"/>
          </w:tcPr>
          <w:p w14:paraId="021FA864" w14:textId="77777777" w:rsidR="000216EB" w:rsidRDefault="000216EB" w:rsidP="000216EB">
            <w:pPr>
              <w:jc w:val="both"/>
              <w:rPr>
                <w:rFonts w:ascii="Garamond" w:hAnsi="Garamond" w:cs="Times New Roman"/>
              </w:rPr>
            </w:pPr>
          </w:p>
          <w:p w14:paraId="138BB57C" w14:textId="77777777" w:rsidR="00DD298B" w:rsidRDefault="000216EB" w:rsidP="000216EB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L’offrant, ou pollicitant, est tenu de maintenir l’offre pendant la durée du délai (</w:t>
            </w:r>
            <w:r w:rsidRPr="000216EB">
              <w:rPr>
                <w:rFonts w:ascii="Garamond" w:hAnsi="Garamond" w:cs="Times New Roman"/>
                <w:i/>
              </w:rPr>
              <w:t>Civ.1</w:t>
            </w:r>
            <w:r w:rsidRPr="000216EB">
              <w:rPr>
                <w:rFonts w:ascii="Garamond" w:hAnsi="Garamond" w:cs="Times New Roman"/>
                <w:i/>
                <w:vertAlign w:val="superscript"/>
              </w:rPr>
              <w:t>ère</w:t>
            </w:r>
            <w:r w:rsidRPr="000216EB">
              <w:rPr>
                <w:rFonts w:ascii="Garamond" w:hAnsi="Garamond" w:cs="Times New Roman"/>
                <w:i/>
              </w:rPr>
              <w:t>, 17 déc. 1958 ; Civ.3</w:t>
            </w:r>
            <w:r w:rsidRPr="000216EB">
              <w:rPr>
                <w:rFonts w:ascii="Garamond" w:hAnsi="Garamond" w:cs="Times New Roman"/>
                <w:i/>
                <w:vertAlign w:val="superscript"/>
              </w:rPr>
              <w:t>ème</w:t>
            </w:r>
            <w:r w:rsidRPr="000216EB">
              <w:rPr>
                <w:rFonts w:ascii="Garamond" w:hAnsi="Garamond" w:cs="Times New Roman"/>
                <w:i/>
              </w:rPr>
              <w:t>, 10 mai 1968</w:t>
            </w:r>
            <w:r>
              <w:rPr>
                <w:rFonts w:ascii="Garamond" w:hAnsi="Garamond" w:cs="Times New Roman"/>
              </w:rPr>
              <w:t>)</w:t>
            </w:r>
          </w:p>
          <w:p w14:paraId="71BE0F84" w14:textId="77777777" w:rsidR="000216EB" w:rsidRDefault="000216EB" w:rsidP="000216EB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u w:val="single"/>
              </w:rPr>
              <w:t>Conséquence de la révocation anticipée</w:t>
            </w:r>
            <w:r>
              <w:rPr>
                <w:rFonts w:ascii="Garamond" w:hAnsi="Garamond" w:cs="Times New Roman"/>
              </w:rPr>
              <w:t xml:space="preserve"> : engagement possible de sa responsabilité </w:t>
            </w:r>
            <w:r w:rsidRPr="000216EB">
              <w:rPr>
                <w:rFonts w:ascii="Garamond" w:hAnsi="Garamond" w:cs="Times New Roman"/>
              </w:rPr>
              <w:sym w:font="Wingdings" w:char="F0E8"/>
            </w:r>
            <w:r>
              <w:rPr>
                <w:rFonts w:ascii="Garamond" w:hAnsi="Garamond" w:cs="Times New Roman"/>
              </w:rPr>
              <w:t xml:space="preserve"> dommages-intérêts</w:t>
            </w:r>
          </w:p>
          <w:p w14:paraId="23663803" w14:textId="77777777" w:rsidR="000216EB" w:rsidRPr="000216EB" w:rsidRDefault="000216EB" w:rsidP="000216EB">
            <w:pPr>
              <w:jc w:val="both"/>
              <w:rPr>
                <w:rFonts w:ascii="Garamond" w:hAnsi="Garamond" w:cs="Times New Roman"/>
              </w:rPr>
            </w:pPr>
          </w:p>
        </w:tc>
      </w:tr>
      <w:tr w:rsidR="003453A6" w14:paraId="12C0C6E5" w14:textId="77777777" w:rsidTr="002713C3">
        <w:trPr>
          <w:trHeight w:val="1661"/>
        </w:trPr>
        <w:tc>
          <w:tcPr>
            <w:tcW w:w="1542" w:type="dxa"/>
          </w:tcPr>
          <w:p w14:paraId="6E1307BE" w14:textId="77777777" w:rsidR="003453A6" w:rsidRDefault="003453A6" w:rsidP="00DD298B">
            <w:pPr>
              <w:jc w:val="both"/>
              <w:rPr>
                <w:rFonts w:ascii="Garamond" w:hAnsi="Garamond" w:cs="Times New Roman"/>
              </w:rPr>
            </w:pPr>
          </w:p>
          <w:p w14:paraId="6B1CE4C1" w14:textId="77777777" w:rsidR="003453A6" w:rsidRDefault="003453A6" w:rsidP="00DD298B">
            <w:pPr>
              <w:jc w:val="both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 xml:space="preserve">Les règles édictées par l’ordonnance de 2016 </w:t>
            </w:r>
          </w:p>
          <w:p w14:paraId="4E80AD22" w14:textId="77777777" w:rsidR="003453A6" w:rsidRPr="000216EB" w:rsidRDefault="003453A6" w:rsidP="00DD298B">
            <w:pPr>
              <w:jc w:val="both"/>
              <w:rPr>
                <w:rFonts w:ascii="Garamond" w:hAnsi="Garamond" w:cs="Times New Roman"/>
                <w:b/>
              </w:rPr>
            </w:pPr>
          </w:p>
        </w:tc>
        <w:tc>
          <w:tcPr>
            <w:tcW w:w="7514" w:type="dxa"/>
            <w:gridSpan w:val="2"/>
          </w:tcPr>
          <w:p w14:paraId="397ED648" w14:textId="77777777" w:rsidR="003453A6" w:rsidRDefault="003453A6" w:rsidP="00DD298B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  <w:u w:val="single"/>
              </w:rPr>
              <w:t>4 étapes </w:t>
            </w:r>
            <w:r>
              <w:rPr>
                <w:rFonts w:ascii="Garamond" w:hAnsi="Garamond" w:cs="Times New Roman"/>
              </w:rPr>
              <w:t xml:space="preserve">: </w:t>
            </w:r>
          </w:p>
          <w:p w14:paraId="51EF5555" w14:textId="77777777" w:rsidR="003453A6" w:rsidRDefault="003453A6" w:rsidP="003453A6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 w:rsidRPr="003453A6">
              <w:rPr>
                <w:rFonts w:ascii="Garamond" w:hAnsi="Garamond" w:cs="Times New Roman"/>
                <w:b/>
                <w:u w:val="single"/>
              </w:rPr>
              <w:t>Art. 1115 </w:t>
            </w:r>
            <w:r>
              <w:rPr>
                <w:rFonts w:ascii="Garamond" w:hAnsi="Garamond" w:cs="Times New Roman"/>
              </w:rPr>
              <w:t xml:space="preserve">: l’offre peut être librement rétractée tant qu’elle n’est </w:t>
            </w:r>
            <w:r w:rsidRPr="003453A6">
              <w:rPr>
                <w:rFonts w:ascii="Garamond" w:hAnsi="Garamond" w:cs="Times New Roman"/>
                <w:u w:val="single"/>
              </w:rPr>
              <w:t>pas parvenue à son destinataire</w:t>
            </w:r>
            <w:r>
              <w:rPr>
                <w:rFonts w:ascii="Garamond" w:hAnsi="Garamond" w:cs="Times New Roman"/>
              </w:rPr>
              <w:t>.</w:t>
            </w:r>
          </w:p>
          <w:p w14:paraId="65A97B2A" w14:textId="77777777" w:rsidR="003453A6" w:rsidRDefault="003453A6" w:rsidP="003453A6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  <w:u w:val="single"/>
              </w:rPr>
              <w:t>Art. 1116 al. 1</w:t>
            </w:r>
            <w:r w:rsidRPr="003453A6">
              <w:rPr>
                <w:rFonts w:ascii="Garamond" w:hAnsi="Garamond" w:cs="Times New Roman"/>
                <w:b/>
                <w:u w:val="single"/>
                <w:vertAlign w:val="superscript"/>
              </w:rPr>
              <w:t>er</w:t>
            </w:r>
            <w:r>
              <w:rPr>
                <w:rFonts w:ascii="Garamond" w:hAnsi="Garamond" w:cs="Times New Roman"/>
                <w:b/>
                <w:u w:val="single"/>
              </w:rPr>
              <w:t> </w:t>
            </w:r>
            <w:r>
              <w:rPr>
                <w:rFonts w:ascii="Garamond" w:hAnsi="Garamond" w:cs="Times New Roman"/>
              </w:rPr>
              <w:t xml:space="preserve">: une fois l’offre parvenue au bénéficiaire, la révocation n’est possible </w:t>
            </w:r>
            <w:r w:rsidRPr="003453A6">
              <w:rPr>
                <w:rFonts w:ascii="Garamond" w:hAnsi="Garamond" w:cs="Times New Roman"/>
                <w:u w:val="single"/>
              </w:rPr>
              <w:t>qu’à l’issue du délai fixé</w:t>
            </w:r>
            <w:r>
              <w:rPr>
                <w:rFonts w:ascii="Garamond" w:hAnsi="Garamond" w:cs="Times New Roman"/>
              </w:rPr>
              <w:t xml:space="preserve"> par l’offrant, ou à défaut</w:t>
            </w:r>
            <w:r w:rsidRPr="003453A6">
              <w:rPr>
                <w:rFonts w:ascii="Garamond" w:hAnsi="Garamond" w:cs="Times New Roman"/>
                <w:u w:val="single"/>
              </w:rPr>
              <w:t>, à l’issue d’un délai raisonnable</w:t>
            </w:r>
            <w:r>
              <w:rPr>
                <w:rFonts w:ascii="Garamond" w:hAnsi="Garamond" w:cs="Times New Roman"/>
              </w:rPr>
              <w:t xml:space="preserve">. </w:t>
            </w:r>
          </w:p>
          <w:p w14:paraId="31E6D991" w14:textId="77777777" w:rsidR="003453A6" w:rsidRDefault="003453A6" w:rsidP="003453A6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  <w:u w:val="single"/>
              </w:rPr>
              <w:t>Art. 1116 al. 2</w:t>
            </w:r>
            <w:r>
              <w:rPr>
                <w:rFonts w:ascii="Garamond" w:hAnsi="Garamond" w:cs="Times New Roman"/>
              </w:rPr>
              <w:t xml:space="preserve"> : si violation du délai fixé ou raisonnable DONC si rétractation de l’offre avant l’expiration du délai </w:t>
            </w:r>
            <w:r w:rsidRPr="003453A6">
              <w:rPr>
                <w:rFonts w:ascii="Garamond" w:hAnsi="Garamond" w:cs="Times New Roman"/>
              </w:rPr>
              <w:sym w:font="Wingdings" w:char="F0E8"/>
            </w:r>
            <w:r>
              <w:rPr>
                <w:rFonts w:ascii="Garamond" w:hAnsi="Garamond" w:cs="Times New Roman"/>
              </w:rPr>
              <w:t xml:space="preserve"> le contrat ne sera pas formé ( pas d’exécution forcée )</w:t>
            </w:r>
          </w:p>
          <w:p w14:paraId="00356B51" w14:textId="77777777" w:rsidR="003453A6" w:rsidRPr="003453A6" w:rsidRDefault="003453A6" w:rsidP="003453A6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  <w:u w:val="single"/>
              </w:rPr>
              <w:t>Art</w:t>
            </w:r>
            <w:r w:rsidRPr="003453A6">
              <w:rPr>
                <w:rFonts w:ascii="Garamond" w:hAnsi="Garamond" w:cs="Times New Roman"/>
              </w:rPr>
              <w:t>.</w:t>
            </w:r>
            <w:r>
              <w:rPr>
                <w:rFonts w:ascii="Garamond" w:hAnsi="Garamond" w:cs="Times New Roman"/>
                <w:b/>
                <w:u w:val="single"/>
              </w:rPr>
              <w:t xml:space="preserve"> 1116 al.3</w:t>
            </w:r>
            <w:r>
              <w:rPr>
                <w:rFonts w:ascii="Garamond" w:hAnsi="Garamond" w:cs="Times New Roman"/>
              </w:rPr>
              <w:t xml:space="preserve"> : dans l’hypothèse d’une rétractation illicite , c’est la responsabilité extracontractuelle de l’offrant qui sera engagée. L’assiette du préjudice ne prendra pas en compte les avantages attendus du contrat. </w:t>
            </w:r>
          </w:p>
          <w:p w14:paraId="1C62BB86" w14:textId="77777777" w:rsidR="003453A6" w:rsidRDefault="003453A6" w:rsidP="00DD298B">
            <w:pPr>
              <w:jc w:val="both"/>
              <w:rPr>
                <w:rFonts w:ascii="Garamond" w:hAnsi="Garamond" w:cs="Times New Roman"/>
              </w:rPr>
            </w:pPr>
          </w:p>
        </w:tc>
      </w:tr>
      <w:tr w:rsidR="002713C3" w14:paraId="60F550A0" w14:textId="77777777" w:rsidTr="007B38B3">
        <w:trPr>
          <w:trHeight w:val="843"/>
        </w:trPr>
        <w:tc>
          <w:tcPr>
            <w:tcW w:w="1542" w:type="dxa"/>
          </w:tcPr>
          <w:p w14:paraId="089AFE6F" w14:textId="77777777" w:rsidR="002713C3" w:rsidRDefault="002713C3" w:rsidP="00DD298B">
            <w:pPr>
              <w:jc w:val="both"/>
              <w:rPr>
                <w:rFonts w:ascii="Garamond" w:hAnsi="Garamond" w:cs="Times New Roman"/>
              </w:rPr>
            </w:pPr>
          </w:p>
          <w:p w14:paraId="3D1FA77D" w14:textId="77777777" w:rsidR="002713C3" w:rsidRPr="003453A6" w:rsidRDefault="002713C3" w:rsidP="002713C3">
            <w:pPr>
              <w:jc w:val="both"/>
              <w:rPr>
                <w:rFonts w:ascii="Garamond" w:hAnsi="Garamond" w:cs="Times New Roman"/>
                <w:b/>
              </w:rPr>
            </w:pPr>
          </w:p>
        </w:tc>
        <w:tc>
          <w:tcPr>
            <w:tcW w:w="7514" w:type="dxa"/>
            <w:gridSpan w:val="2"/>
          </w:tcPr>
          <w:p w14:paraId="026944F9" w14:textId="77777777" w:rsidR="002713C3" w:rsidRDefault="002713C3" w:rsidP="00DD298B">
            <w:pPr>
              <w:jc w:val="both"/>
              <w:rPr>
                <w:rFonts w:ascii="Garamond" w:hAnsi="Garamond" w:cs="Times New Roman"/>
              </w:rPr>
            </w:pPr>
          </w:p>
          <w:p w14:paraId="1B87C0C7" w14:textId="77777777" w:rsidR="002713C3" w:rsidRPr="002713C3" w:rsidRDefault="002713C3" w:rsidP="002713C3">
            <w:pPr>
              <w:jc w:val="center"/>
              <w:rPr>
                <w:rFonts w:ascii="Garamond" w:hAnsi="Garamond" w:cs="Times New Roman"/>
                <w:b/>
              </w:rPr>
            </w:pPr>
            <w:r w:rsidRPr="002713C3">
              <w:rPr>
                <w:rFonts w:ascii="Garamond" w:hAnsi="Garamond" w:cs="Times New Roman"/>
                <w:b/>
              </w:rPr>
              <w:t>Les hypothèses de caducité de l’offre</w:t>
            </w:r>
          </w:p>
          <w:p w14:paraId="41FB4E3D" w14:textId="77777777" w:rsidR="002713C3" w:rsidRPr="002713C3" w:rsidRDefault="002713C3" w:rsidP="002713C3">
            <w:pPr>
              <w:jc w:val="both"/>
              <w:rPr>
                <w:rFonts w:ascii="Garamond" w:hAnsi="Garamond" w:cs="Times New Roman"/>
              </w:rPr>
            </w:pPr>
          </w:p>
        </w:tc>
      </w:tr>
      <w:tr w:rsidR="003453A6" w14:paraId="26C7F24C" w14:textId="77777777" w:rsidTr="002713C3">
        <w:tc>
          <w:tcPr>
            <w:tcW w:w="1542" w:type="dxa"/>
          </w:tcPr>
          <w:p w14:paraId="3E22FB7E" w14:textId="77777777" w:rsidR="00DD298B" w:rsidRDefault="00DD298B" w:rsidP="00DD298B">
            <w:pPr>
              <w:jc w:val="both"/>
              <w:rPr>
                <w:rFonts w:ascii="Garamond" w:hAnsi="Garamond" w:cs="Times New Roman"/>
              </w:rPr>
            </w:pPr>
          </w:p>
        </w:tc>
        <w:tc>
          <w:tcPr>
            <w:tcW w:w="3868" w:type="dxa"/>
          </w:tcPr>
          <w:p w14:paraId="5F16E3CB" w14:textId="77777777" w:rsidR="002713C3" w:rsidRDefault="002713C3" w:rsidP="002713C3">
            <w:pPr>
              <w:jc w:val="both"/>
              <w:rPr>
                <w:rFonts w:ascii="Garamond" w:hAnsi="Garamond" w:cs="Times New Roman"/>
                <w:u w:val="single"/>
              </w:rPr>
            </w:pPr>
          </w:p>
          <w:p w14:paraId="0C2DC67B" w14:textId="77777777" w:rsidR="002713C3" w:rsidRDefault="002713C3" w:rsidP="002713C3">
            <w:pPr>
              <w:jc w:val="both"/>
              <w:rPr>
                <w:rFonts w:ascii="Garamond" w:hAnsi="Garamond" w:cs="Times New Roman"/>
              </w:rPr>
            </w:pPr>
            <w:r w:rsidRPr="002713C3">
              <w:rPr>
                <w:rFonts w:ascii="Garamond" w:hAnsi="Garamond" w:cs="Times New Roman"/>
                <w:b/>
                <w:u w:val="single"/>
              </w:rPr>
              <w:t>L’écoulement du temps</w:t>
            </w:r>
            <w:r w:rsidRPr="002713C3">
              <w:rPr>
                <w:rFonts w:ascii="Garamond" w:hAnsi="Garamond" w:cs="Times New Roman"/>
                <w:b/>
              </w:rPr>
              <w:t> </w:t>
            </w:r>
            <w:r>
              <w:rPr>
                <w:rFonts w:ascii="Garamond" w:hAnsi="Garamond" w:cs="Times New Roman"/>
              </w:rPr>
              <w:t>:</w:t>
            </w:r>
          </w:p>
          <w:p w14:paraId="53240718" w14:textId="77777777" w:rsidR="002713C3" w:rsidRDefault="002713C3" w:rsidP="002713C3">
            <w:pPr>
              <w:jc w:val="both"/>
              <w:rPr>
                <w:rFonts w:ascii="Garamond" w:hAnsi="Garamond" w:cs="Times New Roman"/>
              </w:rPr>
            </w:pPr>
          </w:p>
          <w:p w14:paraId="2830F637" w14:textId="77777777" w:rsidR="002713C3" w:rsidRDefault="002713C3" w:rsidP="002713C3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Si l’offre est assortie d’un délai : la caducité intervient à l’expiration du délai  </w:t>
            </w:r>
          </w:p>
          <w:p w14:paraId="7962754B" w14:textId="77777777" w:rsidR="002713C3" w:rsidRPr="003453A6" w:rsidRDefault="002713C3" w:rsidP="002713C3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Si l’offre n’est pas assortie d’un délai : la caducité intervient à l’expiration du délai raisonnable (</w:t>
            </w:r>
            <w:r>
              <w:rPr>
                <w:rFonts w:ascii="Garamond" w:hAnsi="Garamond" w:cs="Times New Roman"/>
                <w:i/>
              </w:rPr>
              <w:t>civ. 3</w:t>
            </w:r>
            <w:r w:rsidRPr="002713C3">
              <w:rPr>
                <w:rFonts w:ascii="Garamond" w:hAnsi="Garamond" w:cs="Times New Roman"/>
                <w:i/>
                <w:vertAlign w:val="superscript"/>
              </w:rPr>
              <w:t>ème</w:t>
            </w:r>
            <w:r>
              <w:rPr>
                <w:rFonts w:ascii="Garamond" w:hAnsi="Garamond" w:cs="Times New Roman"/>
                <w:i/>
              </w:rPr>
              <w:t>, 20 mai 1992 ; civ. 3</w:t>
            </w:r>
            <w:r w:rsidRPr="002713C3">
              <w:rPr>
                <w:rFonts w:ascii="Garamond" w:hAnsi="Garamond" w:cs="Times New Roman"/>
                <w:i/>
                <w:vertAlign w:val="superscript"/>
              </w:rPr>
              <w:t>ème</w:t>
            </w:r>
            <w:r>
              <w:rPr>
                <w:rFonts w:ascii="Garamond" w:hAnsi="Garamond" w:cs="Times New Roman"/>
                <w:i/>
              </w:rPr>
              <w:t xml:space="preserve"> 20 mai 2009 </w:t>
            </w:r>
            <w:r>
              <w:rPr>
                <w:rFonts w:ascii="Garamond" w:hAnsi="Garamond" w:cs="Times New Roman"/>
              </w:rPr>
              <w:t xml:space="preserve">puis </w:t>
            </w:r>
            <w:r w:rsidRPr="003453A6">
              <w:rPr>
                <w:rFonts w:ascii="Garamond" w:hAnsi="Garamond" w:cs="Times New Roman"/>
                <w:b/>
                <w:u w:val="single"/>
              </w:rPr>
              <w:t>art. 1117</w:t>
            </w:r>
            <w:r>
              <w:rPr>
                <w:rFonts w:ascii="Garamond" w:hAnsi="Garamond" w:cs="Times New Roman"/>
              </w:rPr>
              <w:t>)</w:t>
            </w:r>
          </w:p>
          <w:p w14:paraId="513AABDE" w14:textId="77777777" w:rsidR="00DD298B" w:rsidRDefault="00DD298B" w:rsidP="00DD298B">
            <w:pPr>
              <w:jc w:val="both"/>
              <w:rPr>
                <w:rFonts w:ascii="Garamond" w:hAnsi="Garamond" w:cs="Times New Roman"/>
              </w:rPr>
            </w:pPr>
          </w:p>
        </w:tc>
        <w:tc>
          <w:tcPr>
            <w:tcW w:w="3646" w:type="dxa"/>
          </w:tcPr>
          <w:p w14:paraId="52E03399" w14:textId="77777777" w:rsidR="002713C3" w:rsidRDefault="002713C3" w:rsidP="002713C3">
            <w:pPr>
              <w:jc w:val="both"/>
              <w:rPr>
                <w:rFonts w:ascii="Garamond" w:hAnsi="Garamond" w:cs="Times New Roman"/>
              </w:rPr>
            </w:pPr>
          </w:p>
          <w:p w14:paraId="7E284726" w14:textId="77777777" w:rsidR="002713C3" w:rsidRDefault="002713C3" w:rsidP="002713C3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  <w:u w:val="single"/>
              </w:rPr>
              <w:t>Le décès/</w:t>
            </w:r>
            <w:r w:rsidRPr="002713C3">
              <w:rPr>
                <w:rFonts w:ascii="Garamond" w:hAnsi="Garamond" w:cs="Times New Roman"/>
                <w:b/>
                <w:u w:val="single"/>
              </w:rPr>
              <w:t>l’incapacité de l’offrant </w:t>
            </w:r>
            <w:r>
              <w:rPr>
                <w:rFonts w:ascii="Garamond" w:hAnsi="Garamond" w:cs="Times New Roman"/>
              </w:rPr>
              <w:t>:</w:t>
            </w:r>
          </w:p>
          <w:p w14:paraId="6A3E8373" w14:textId="77777777" w:rsidR="002713C3" w:rsidRDefault="002713C3" w:rsidP="002713C3">
            <w:pPr>
              <w:jc w:val="both"/>
              <w:rPr>
                <w:rFonts w:ascii="Garamond" w:hAnsi="Garamond" w:cs="Times New Roman"/>
              </w:rPr>
            </w:pPr>
          </w:p>
          <w:p w14:paraId="7B45BC59" w14:textId="77777777" w:rsidR="002713C3" w:rsidRDefault="002713C3" w:rsidP="002713C3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Si l’offre est assortie d’un délai</w:t>
            </w:r>
            <w:r>
              <w:rPr>
                <w:rFonts w:ascii="Garamond" w:hAnsi="Garamond" w:cs="Times New Roman"/>
              </w:rPr>
              <w:t xml:space="preserve"> : </w:t>
            </w:r>
          </w:p>
          <w:p w14:paraId="3D579FEA" w14:textId="77777777" w:rsidR="002713C3" w:rsidRDefault="002713C3" w:rsidP="002713C3">
            <w:pPr>
              <w:pStyle w:val="Pardeliste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</w:rPr>
            </w:pPr>
            <w:r w:rsidRPr="002713C3">
              <w:rPr>
                <w:rFonts w:ascii="Garamond" w:hAnsi="Garamond" w:cs="Times New Roman"/>
                <w:u w:val="single"/>
              </w:rPr>
              <w:t>JP av. 2016 </w:t>
            </w:r>
            <w:r>
              <w:rPr>
                <w:rFonts w:ascii="Garamond" w:hAnsi="Garamond" w:cs="Times New Roman"/>
              </w:rPr>
              <w:t>: l’offre survit au décès de l’offrant (</w:t>
            </w:r>
            <w:r>
              <w:rPr>
                <w:rFonts w:ascii="Garamond" w:hAnsi="Garamond" w:cs="Times New Roman"/>
                <w:i/>
              </w:rPr>
              <w:t>civ. 3</w:t>
            </w:r>
            <w:r w:rsidRPr="002713C3">
              <w:rPr>
                <w:rFonts w:ascii="Garamond" w:hAnsi="Garamond" w:cs="Times New Roman"/>
                <w:i/>
                <w:vertAlign w:val="superscript"/>
              </w:rPr>
              <w:t>ème</w:t>
            </w:r>
            <w:r>
              <w:rPr>
                <w:rFonts w:ascii="Garamond" w:hAnsi="Garamond" w:cs="Times New Roman"/>
                <w:i/>
              </w:rPr>
              <w:t>, 10 déc. 1997)</w:t>
            </w:r>
          </w:p>
          <w:p w14:paraId="659E97F7" w14:textId="77777777" w:rsidR="002713C3" w:rsidRDefault="002713C3" w:rsidP="002713C3">
            <w:pPr>
              <w:pStyle w:val="Pardeliste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</w:rPr>
            </w:pPr>
            <w:r w:rsidRPr="002713C3">
              <w:rPr>
                <w:rFonts w:ascii="Garamond" w:hAnsi="Garamond" w:cs="Times New Roman"/>
                <w:u w:val="single"/>
              </w:rPr>
              <w:t>Ordo. 2016 </w:t>
            </w:r>
            <w:r>
              <w:rPr>
                <w:rFonts w:ascii="Garamond" w:hAnsi="Garamond" w:cs="Times New Roman"/>
              </w:rPr>
              <w:t xml:space="preserve">: </w:t>
            </w:r>
            <w:r>
              <w:rPr>
                <w:rFonts w:ascii="Garamond" w:hAnsi="Garamond" w:cs="Times New Roman"/>
                <w:b/>
                <w:u w:val="single"/>
              </w:rPr>
              <w:t>art. 1117</w:t>
            </w:r>
            <w:r>
              <w:rPr>
                <w:rFonts w:ascii="Garamond" w:hAnsi="Garamond" w:cs="Times New Roman"/>
              </w:rPr>
              <w:t> : l’offre est caduqe</w:t>
            </w:r>
          </w:p>
          <w:p w14:paraId="1038D545" w14:textId="77777777" w:rsidR="002713C3" w:rsidRDefault="002713C3" w:rsidP="002713C3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Si l’offre n’est pas assortie d’un délai : </w:t>
            </w:r>
          </w:p>
          <w:p w14:paraId="6F5A792D" w14:textId="77777777" w:rsidR="002713C3" w:rsidRDefault="002713C3" w:rsidP="002713C3">
            <w:pPr>
              <w:pStyle w:val="Pardeliste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</w:rPr>
            </w:pPr>
            <w:r w:rsidRPr="002713C3">
              <w:rPr>
                <w:rFonts w:ascii="Garamond" w:hAnsi="Garamond" w:cs="Times New Roman"/>
                <w:u w:val="single"/>
              </w:rPr>
              <w:t>JP av. 2016 </w:t>
            </w:r>
            <w:r>
              <w:rPr>
                <w:rFonts w:ascii="Garamond" w:hAnsi="Garamond" w:cs="Times New Roman"/>
              </w:rPr>
              <w:t xml:space="preserve">:  fluctuante (v. </w:t>
            </w:r>
            <w:r>
              <w:rPr>
                <w:rFonts w:ascii="Garamond" w:hAnsi="Garamond" w:cs="Times New Roman"/>
                <w:i/>
              </w:rPr>
              <w:t>Civ. 3</w:t>
            </w:r>
            <w:r w:rsidRPr="002713C3">
              <w:rPr>
                <w:rFonts w:ascii="Garamond" w:hAnsi="Garamond" w:cs="Times New Roman"/>
                <w:i/>
                <w:vertAlign w:val="superscript"/>
              </w:rPr>
              <w:t>ème</w:t>
            </w:r>
            <w:r>
              <w:rPr>
                <w:rFonts w:ascii="Garamond" w:hAnsi="Garamond" w:cs="Times New Roman"/>
                <w:i/>
              </w:rPr>
              <w:t xml:space="preserve">, 9 novembre 1983 </w:t>
            </w:r>
            <w:r>
              <w:rPr>
                <w:rFonts w:ascii="Garamond" w:hAnsi="Garamond" w:cs="Times New Roman"/>
              </w:rPr>
              <w:t xml:space="preserve">puis </w:t>
            </w:r>
            <w:r>
              <w:rPr>
                <w:rFonts w:ascii="Garamond" w:hAnsi="Garamond" w:cs="Times New Roman"/>
                <w:i/>
              </w:rPr>
              <w:t xml:space="preserve">10 mai 1989 </w:t>
            </w:r>
            <w:r>
              <w:rPr>
                <w:rFonts w:ascii="Garamond" w:hAnsi="Garamond" w:cs="Times New Roman"/>
              </w:rPr>
              <w:t xml:space="preserve">puis </w:t>
            </w:r>
            <w:r>
              <w:rPr>
                <w:rFonts w:ascii="Garamond" w:hAnsi="Garamond" w:cs="Times New Roman"/>
                <w:i/>
              </w:rPr>
              <w:t>civ. 1</w:t>
            </w:r>
            <w:r w:rsidRPr="002713C3">
              <w:rPr>
                <w:rFonts w:ascii="Garamond" w:hAnsi="Garamond" w:cs="Times New Roman"/>
                <w:i/>
                <w:vertAlign w:val="superscript"/>
              </w:rPr>
              <w:t>ère</w:t>
            </w:r>
            <w:r>
              <w:rPr>
                <w:rFonts w:ascii="Garamond" w:hAnsi="Garamond" w:cs="Times New Roman"/>
                <w:i/>
              </w:rPr>
              <w:t>, 25 juin  2014</w:t>
            </w:r>
            <w:r>
              <w:rPr>
                <w:rFonts w:ascii="Garamond" w:hAnsi="Garamond" w:cs="Times New Roman"/>
              </w:rPr>
              <w:t>)</w:t>
            </w:r>
          </w:p>
          <w:p w14:paraId="7CE7ADA1" w14:textId="77777777" w:rsidR="002713C3" w:rsidRPr="002713C3" w:rsidRDefault="002713C3" w:rsidP="002713C3">
            <w:pPr>
              <w:pStyle w:val="Pardeliste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u w:val="single"/>
              </w:rPr>
              <w:t>Ordo</w:t>
            </w:r>
            <w:r w:rsidRPr="002713C3">
              <w:rPr>
                <w:rFonts w:ascii="Garamond" w:hAnsi="Garamond" w:cs="Times New Roman"/>
                <w:u w:val="single"/>
              </w:rPr>
              <w:t>. 2016 </w:t>
            </w:r>
            <w:r>
              <w:rPr>
                <w:rFonts w:ascii="Garamond" w:hAnsi="Garamond" w:cs="Times New Roman"/>
                <w:u w:val="single"/>
              </w:rPr>
              <w:t xml:space="preserve">: </w:t>
            </w:r>
            <w:r>
              <w:rPr>
                <w:rFonts w:ascii="Garamond" w:hAnsi="Garamond" w:cs="Times New Roman"/>
                <w:b/>
                <w:u w:val="single"/>
              </w:rPr>
              <w:t>art. 1117</w:t>
            </w:r>
            <w:r>
              <w:rPr>
                <w:rFonts w:ascii="Garamond" w:hAnsi="Garamond" w:cs="Times New Roman"/>
              </w:rPr>
              <w:t xml:space="preserve"> : l’offre est caduque </w:t>
            </w:r>
          </w:p>
          <w:p w14:paraId="5EFCE41C" w14:textId="77777777" w:rsidR="00DD298B" w:rsidRDefault="00DD298B" w:rsidP="00DD298B">
            <w:pPr>
              <w:jc w:val="both"/>
              <w:rPr>
                <w:rFonts w:ascii="Garamond" w:hAnsi="Garamond" w:cs="Times New Roman"/>
              </w:rPr>
            </w:pPr>
          </w:p>
        </w:tc>
      </w:tr>
    </w:tbl>
    <w:p w14:paraId="5FA70534" w14:textId="77777777" w:rsidR="00DD298B" w:rsidRDefault="00DD298B" w:rsidP="00DD298B">
      <w:pPr>
        <w:jc w:val="both"/>
        <w:rPr>
          <w:rFonts w:ascii="Garamond" w:hAnsi="Garamond" w:cs="Times New Roman"/>
        </w:rPr>
      </w:pPr>
    </w:p>
    <w:p w14:paraId="257F938E" w14:textId="77777777" w:rsidR="00C85AB5" w:rsidRDefault="00C85AB5" w:rsidP="00DD298B">
      <w:pPr>
        <w:jc w:val="both"/>
        <w:rPr>
          <w:rFonts w:ascii="Garamond" w:hAnsi="Garamond" w:cs="Times New Roman"/>
        </w:rPr>
      </w:pPr>
    </w:p>
    <w:p w14:paraId="2A4C6523" w14:textId="77777777" w:rsidR="00C85AB5" w:rsidRDefault="00C85AB5" w:rsidP="00DD298B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L’offre une fois formulée, doit rencontre l’acceptation afin de parvenir à la formation du contrat. Cette dernière doit respecter un certain nombre de conditions de fond et de forme. </w:t>
      </w:r>
    </w:p>
    <w:p w14:paraId="4FD0AC2E" w14:textId="77777777" w:rsidR="00C85AB5" w:rsidRDefault="00C85AB5" w:rsidP="00DD298B">
      <w:pPr>
        <w:jc w:val="both"/>
        <w:rPr>
          <w:rFonts w:ascii="Garamond" w:hAnsi="Garamond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85AB5" w14:paraId="01F9DAB8" w14:textId="77777777" w:rsidTr="009E1784">
        <w:tc>
          <w:tcPr>
            <w:tcW w:w="4528" w:type="dxa"/>
          </w:tcPr>
          <w:p w14:paraId="136A50F5" w14:textId="77777777" w:rsidR="00C85AB5" w:rsidRDefault="00C85AB5" w:rsidP="00C85AB5">
            <w:pPr>
              <w:jc w:val="center"/>
              <w:rPr>
                <w:rFonts w:ascii="Garamond" w:hAnsi="Garamond" w:cs="Times New Roman"/>
                <w:b/>
              </w:rPr>
            </w:pPr>
          </w:p>
          <w:p w14:paraId="70B07E39" w14:textId="77777777" w:rsidR="00C85AB5" w:rsidRDefault="00C85AB5" w:rsidP="00C85AB5">
            <w:pPr>
              <w:jc w:val="center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>Les conditions de fond de l’acceptation</w:t>
            </w:r>
          </w:p>
          <w:p w14:paraId="3DE74BE4" w14:textId="77777777" w:rsidR="00C85AB5" w:rsidRPr="00C85AB5" w:rsidRDefault="00C85AB5" w:rsidP="00C85AB5">
            <w:pPr>
              <w:jc w:val="center"/>
              <w:rPr>
                <w:rFonts w:ascii="Garamond" w:hAnsi="Garamond" w:cs="Times New Roman"/>
                <w:b/>
              </w:rPr>
            </w:pPr>
          </w:p>
        </w:tc>
        <w:tc>
          <w:tcPr>
            <w:tcW w:w="4528" w:type="dxa"/>
          </w:tcPr>
          <w:p w14:paraId="6D5734FB" w14:textId="77777777" w:rsidR="00C85AB5" w:rsidRDefault="00C85AB5" w:rsidP="00C85AB5">
            <w:pPr>
              <w:jc w:val="center"/>
              <w:rPr>
                <w:rFonts w:ascii="Garamond" w:hAnsi="Garamond" w:cs="Times New Roman"/>
                <w:b/>
              </w:rPr>
            </w:pPr>
          </w:p>
          <w:p w14:paraId="45986224" w14:textId="77777777" w:rsidR="00C85AB5" w:rsidRPr="00C85AB5" w:rsidRDefault="00C85AB5" w:rsidP="00C85AB5">
            <w:pPr>
              <w:jc w:val="center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>Les conditions de forme de l’acceptation</w:t>
            </w:r>
          </w:p>
        </w:tc>
      </w:tr>
      <w:tr w:rsidR="00C85AB5" w14:paraId="31D4AB86" w14:textId="77777777" w:rsidTr="009E1784">
        <w:tc>
          <w:tcPr>
            <w:tcW w:w="4528" w:type="dxa"/>
          </w:tcPr>
          <w:p w14:paraId="69487DF0" w14:textId="77777777" w:rsidR="00C85AB5" w:rsidRDefault="00C85AB5" w:rsidP="00C85AB5">
            <w:pPr>
              <w:jc w:val="both"/>
              <w:rPr>
                <w:rFonts w:ascii="Garamond" w:hAnsi="Garamond" w:cs="Times New Roman"/>
                <w:b/>
              </w:rPr>
            </w:pPr>
          </w:p>
          <w:p w14:paraId="1D1449C4" w14:textId="77777777" w:rsidR="00C85AB5" w:rsidRDefault="00C85AB5" w:rsidP="00C85AB5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</w:rPr>
              <w:t>La conformité à l’offre</w:t>
            </w:r>
            <w:r>
              <w:rPr>
                <w:rFonts w:ascii="Garamond" w:hAnsi="Garamond" w:cs="Times New Roman"/>
              </w:rPr>
              <w:t xml:space="preserve"> : </w:t>
            </w:r>
            <w:r>
              <w:rPr>
                <w:rFonts w:ascii="Garamond" w:hAnsi="Garamond" w:cs="Times New Roman"/>
                <w:b/>
                <w:u w:val="single"/>
              </w:rPr>
              <w:t>Art. 1118</w:t>
            </w:r>
            <w:r>
              <w:rPr>
                <w:rFonts w:ascii="Garamond" w:hAnsi="Garamond" w:cs="Times New Roman"/>
              </w:rPr>
              <w:t xml:space="preserve"> – elle doit correspondre aux conditions contenues dans l’offre. </w:t>
            </w:r>
          </w:p>
          <w:p w14:paraId="2E5EAC10" w14:textId="77777777" w:rsidR="00C85AB5" w:rsidRPr="00C85AB5" w:rsidRDefault="00C85AB5" w:rsidP="00C85AB5">
            <w:pPr>
              <w:jc w:val="both"/>
              <w:rPr>
                <w:rFonts w:ascii="Garamond" w:hAnsi="Garamond" w:cs="Times New Roman"/>
              </w:rPr>
            </w:pPr>
          </w:p>
        </w:tc>
        <w:tc>
          <w:tcPr>
            <w:tcW w:w="4528" w:type="dxa"/>
          </w:tcPr>
          <w:p w14:paraId="00FB9CB6" w14:textId="77777777" w:rsidR="00C85AB5" w:rsidRDefault="00C85AB5" w:rsidP="00DD298B">
            <w:pPr>
              <w:jc w:val="both"/>
              <w:rPr>
                <w:rFonts w:ascii="Garamond" w:hAnsi="Garamond" w:cs="Times New Roman"/>
              </w:rPr>
            </w:pPr>
          </w:p>
          <w:p w14:paraId="4FB79CC0" w14:textId="77777777" w:rsidR="00C85AB5" w:rsidRDefault="00C85AB5" w:rsidP="00DD298B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</w:rPr>
              <w:t>Expresse ou tacite</w:t>
            </w:r>
            <w:r>
              <w:rPr>
                <w:rFonts w:ascii="Garamond" w:hAnsi="Garamond" w:cs="Times New Roman"/>
              </w:rPr>
              <w:t xml:space="preserve"> : </w:t>
            </w:r>
            <w:r>
              <w:rPr>
                <w:rFonts w:ascii="Garamond" w:hAnsi="Garamond" w:cs="Times New Roman"/>
                <w:b/>
                <w:u w:val="single"/>
              </w:rPr>
              <w:t>Art. 1118</w:t>
            </w:r>
            <w:r>
              <w:rPr>
                <w:rFonts w:ascii="Garamond" w:hAnsi="Garamond" w:cs="Times New Roman"/>
              </w:rPr>
              <w:t> :</w:t>
            </w:r>
          </w:p>
          <w:p w14:paraId="52055927" w14:textId="77777777" w:rsidR="009E1784" w:rsidRDefault="009E1784" w:rsidP="009E1784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Expresse = écrite ou verbale, ou peut dépendre des usages ..</w:t>
            </w:r>
          </w:p>
          <w:p w14:paraId="323A0596" w14:textId="77777777" w:rsidR="009E1784" w:rsidRDefault="009E1784" w:rsidP="009E1784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Tacite : exécution spontanée du contrat</w:t>
            </w:r>
          </w:p>
          <w:p w14:paraId="76F50BDA" w14:textId="77777777" w:rsidR="009E1784" w:rsidRPr="009E1784" w:rsidRDefault="009E1784" w:rsidP="009E1784">
            <w:pPr>
              <w:jc w:val="both"/>
              <w:rPr>
                <w:rFonts w:ascii="Garamond" w:hAnsi="Garamond" w:cs="Times New Roman"/>
              </w:rPr>
            </w:pPr>
            <w:r w:rsidRPr="009E1784">
              <w:rPr>
                <w:rFonts w:ascii="Garamond" w:hAnsi="Garamond" w:cs="Times New Roman"/>
              </w:rPr>
              <w:t xml:space="preserve"> </w:t>
            </w:r>
          </w:p>
        </w:tc>
      </w:tr>
      <w:tr w:rsidR="009E1784" w14:paraId="0F84DBDE" w14:textId="77777777" w:rsidTr="009E1784">
        <w:tc>
          <w:tcPr>
            <w:tcW w:w="4528" w:type="dxa"/>
          </w:tcPr>
          <w:p w14:paraId="46C4FAF0" w14:textId="77777777" w:rsidR="009E1784" w:rsidRDefault="009E1784" w:rsidP="00DD298B">
            <w:pPr>
              <w:jc w:val="both"/>
              <w:rPr>
                <w:rFonts w:ascii="Garamond" w:hAnsi="Garamond" w:cs="Times New Roman"/>
              </w:rPr>
            </w:pPr>
          </w:p>
          <w:p w14:paraId="0DDB9910" w14:textId="77777777" w:rsidR="009E1784" w:rsidRDefault="009E1784" w:rsidP="00DD298B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</w:rPr>
              <w:t>L’acceptation doit être pure et simple</w:t>
            </w:r>
            <w:r>
              <w:rPr>
                <w:rFonts w:ascii="Garamond" w:hAnsi="Garamond" w:cs="Times New Roman"/>
              </w:rPr>
              <w:t xml:space="preserve"> : si l’acceptation pose des réserves, par exemple nouveau prix, il ne s’agit en fait pas d’une acceptation mais d’une contre proposition. </w:t>
            </w:r>
          </w:p>
          <w:p w14:paraId="3C8BC66A" w14:textId="77777777" w:rsidR="009E1784" w:rsidRPr="00C85AB5" w:rsidRDefault="009E1784" w:rsidP="00DD298B">
            <w:pPr>
              <w:jc w:val="both"/>
              <w:rPr>
                <w:rFonts w:ascii="Garamond" w:hAnsi="Garamond" w:cs="Times New Roman"/>
              </w:rPr>
            </w:pPr>
          </w:p>
        </w:tc>
        <w:tc>
          <w:tcPr>
            <w:tcW w:w="4528" w:type="dxa"/>
            <w:vMerge w:val="restart"/>
          </w:tcPr>
          <w:p w14:paraId="5947B4E9" w14:textId="77777777" w:rsidR="009E1784" w:rsidRDefault="009E1784" w:rsidP="00DD298B">
            <w:pPr>
              <w:jc w:val="both"/>
              <w:rPr>
                <w:rFonts w:ascii="Garamond" w:hAnsi="Garamond" w:cs="Times New Roman"/>
              </w:rPr>
            </w:pPr>
          </w:p>
          <w:p w14:paraId="2EF437C5" w14:textId="77777777" w:rsidR="009E1784" w:rsidRDefault="009E1784" w:rsidP="00DD298B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</w:rPr>
              <w:t xml:space="preserve">Le silence ? </w:t>
            </w:r>
            <w:r>
              <w:rPr>
                <w:rFonts w:ascii="Garamond" w:hAnsi="Garamond" w:cs="Times New Roman"/>
              </w:rPr>
              <w:t xml:space="preserve"> (doit bien être différencié de l’acceptation tacite – le silence est constitué par une position </w:t>
            </w:r>
            <w:r>
              <w:rPr>
                <w:rFonts w:ascii="Garamond" w:hAnsi="Garamond" w:cs="Times New Roman"/>
                <w:u w:val="single"/>
              </w:rPr>
              <w:t>passive</w:t>
            </w:r>
            <w:r>
              <w:rPr>
                <w:rFonts w:ascii="Garamond" w:hAnsi="Garamond" w:cs="Times New Roman"/>
              </w:rPr>
              <w:t xml:space="preserve"> du bénéficiaire) : </w:t>
            </w:r>
          </w:p>
          <w:p w14:paraId="6A0C5456" w14:textId="77777777" w:rsidR="009E1784" w:rsidRPr="009E1784" w:rsidRDefault="009E1784" w:rsidP="00DD298B">
            <w:pPr>
              <w:jc w:val="both"/>
              <w:rPr>
                <w:rFonts w:ascii="Garamond" w:hAnsi="Garamond" w:cs="Times New Roman"/>
              </w:rPr>
            </w:pPr>
          </w:p>
          <w:p w14:paraId="760C43ED" w14:textId="77777777" w:rsidR="009E1784" w:rsidRDefault="009E1784" w:rsidP="009E1784">
            <w:pPr>
              <w:pStyle w:val="Pardeliste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  <w:u w:val="single"/>
              </w:rPr>
              <w:t>Art. 1120</w:t>
            </w:r>
            <w:r>
              <w:rPr>
                <w:rFonts w:ascii="Garamond" w:hAnsi="Garamond" w:cs="Times New Roman"/>
              </w:rPr>
              <w:t xml:space="preserve"> (reprend JP antérieure) : </w:t>
            </w:r>
          </w:p>
          <w:p w14:paraId="4F96CF63" w14:textId="77777777" w:rsidR="009E1784" w:rsidRDefault="009E1784" w:rsidP="009E1784">
            <w:pPr>
              <w:pStyle w:val="Pardeliste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u w:val="single"/>
              </w:rPr>
              <w:t>En principe</w:t>
            </w:r>
            <w:r>
              <w:rPr>
                <w:rFonts w:ascii="Garamond" w:hAnsi="Garamond" w:cs="Times New Roman"/>
              </w:rPr>
              <w:t xml:space="preserve"> : le silence ne vaut pas acceptation </w:t>
            </w:r>
          </w:p>
          <w:p w14:paraId="679EDF35" w14:textId="77777777" w:rsidR="009E1784" w:rsidRPr="009E1784" w:rsidRDefault="009E1784" w:rsidP="009E1784">
            <w:pPr>
              <w:pStyle w:val="Pardeliste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u w:val="single"/>
              </w:rPr>
              <w:t>Exception</w:t>
            </w:r>
            <w:r>
              <w:rPr>
                <w:rFonts w:ascii="Garamond" w:hAnsi="Garamond" w:cs="Times New Roman"/>
              </w:rPr>
              <w:t xml:space="preserve"> : Sauf loi, usage, relations d’affaires ou circonstances particulières. </w:t>
            </w:r>
          </w:p>
          <w:p w14:paraId="54E5D0B7" w14:textId="77777777" w:rsidR="009E1784" w:rsidRPr="009E1784" w:rsidRDefault="009E1784" w:rsidP="009E1784">
            <w:pPr>
              <w:jc w:val="both"/>
              <w:rPr>
                <w:rFonts w:ascii="Garamond" w:hAnsi="Garamond" w:cs="Times New Roman"/>
              </w:rPr>
            </w:pPr>
          </w:p>
        </w:tc>
      </w:tr>
      <w:tr w:rsidR="009E1784" w14:paraId="224F37C2" w14:textId="77777777" w:rsidTr="009E1784">
        <w:tc>
          <w:tcPr>
            <w:tcW w:w="4528" w:type="dxa"/>
          </w:tcPr>
          <w:p w14:paraId="76F38FE3" w14:textId="77777777" w:rsidR="009E1784" w:rsidRDefault="009E1784" w:rsidP="00DD298B">
            <w:pPr>
              <w:jc w:val="both"/>
              <w:rPr>
                <w:rFonts w:ascii="Garamond" w:hAnsi="Garamond" w:cs="Times New Roman"/>
              </w:rPr>
            </w:pPr>
          </w:p>
          <w:p w14:paraId="78E3F92A" w14:textId="77777777" w:rsidR="009E1784" w:rsidRDefault="009E1784" w:rsidP="00DD298B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</w:rPr>
              <w:t>L’acceptation doit être complète</w:t>
            </w:r>
            <w:r>
              <w:rPr>
                <w:rFonts w:ascii="Garamond" w:hAnsi="Garamond" w:cs="Times New Roman"/>
              </w:rPr>
              <w:t xml:space="preserve"> : porte sur l’ensemble des conditions de l’offre. </w:t>
            </w:r>
          </w:p>
          <w:p w14:paraId="5CDAAA48" w14:textId="77777777" w:rsidR="009E1784" w:rsidRPr="00C85AB5" w:rsidRDefault="009E1784" w:rsidP="00DD298B">
            <w:pPr>
              <w:jc w:val="both"/>
              <w:rPr>
                <w:rFonts w:ascii="Garamond" w:hAnsi="Garamond" w:cs="Times New Roman"/>
              </w:rPr>
            </w:pPr>
          </w:p>
        </w:tc>
        <w:tc>
          <w:tcPr>
            <w:tcW w:w="4528" w:type="dxa"/>
            <w:vMerge/>
          </w:tcPr>
          <w:p w14:paraId="4BC366E5" w14:textId="77777777" w:rsidR="009E1784" w:rsidRDefault="009E1784" w:rsidP="00DD298B">
            <w:pPr>
              <w:jc w:val="both"/>
              <w:rPr>
                <w:rFonts w:ascii="Garamond" w:hAnsi="Garamond" w:cs="Times New Roman"/>
              </w:rPr>
            </w:pPr>
          </w:p>
        </w:tc>
      </w:tr>
    </w:tbl>
    <w:p w14:paraId="541ADBC7" w14:textId="77777777" w:rsidR="00C85AB5" w:rsidRDefault="00C85AB5" w:rsidP="00DD298B">
      <w:pPr>
        <w:jc w:val="both"/>
        <w:rPr>
          <w:rFonts w:ascii="Garamond" w:hAnsi="Garamond" w:cs="Times New Roman"/>
        </w:rPr>
      </w:pPr>
    </w:p>
    <w:p w14:paraId="256E3404" w14:textId="77777777" w:rsidR="00C85AB5" w:rsidRDefault="00C85AB5" w:rsidP="00DD298B">
      <w:pPr>
        <w:jc w:val="both"/>
        <w:rPr>
          <w:rFonts w:ascii="Garamond" w:hAnsi="Garamond" w:cs="Times New Roman"/>
        </w:rPr>
      </w:pPr>
    </w:p>
    <w:p w14:paraId="0FCE4550" w14:textId="77777777" w:rsidR="008D2274" w:rsidRPr="008D2274" w:rsidRDefault="008D2274" w:rsidP="00DD298B">
      <w:pPr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8D2274">
        <w:rPr>
          <w:rFonts w:ascii="Garamond" w:hAnsi="Garamond" w:cs="Times New Roman"/>
          <w:b/>
          <w:sz w:val="28"/>
          <w:szCs w:val="28"/>
          <w:u w:val="single"/>
        </w:rPr>
        <w:t xml:space="preserve">II- Les pourparlers – négociations (forme non contractuelle de pourparlers) </w:t>
      </w:r>
    </w:p>
    <w:p w14:paraId="7745C8F4" w14:textId="77777777" w:rsidR="008D2274" w:rsidRDefault="008D2274" w:rsidP="00DD298B">
      <w:pPr>
        <w:jc w:val="both"/>
        <w:rPr>
          <w:rFonts w:ascii="Garamond" w:hAnsi="Garamond" w:cs="Times New Roman"/>
        </w:rPr>
      </w:pPr>
    </w:p>
    <w:p w14:paraId="4B3B3000" w14:textId="77777777" w:rsidR="009E1784" w:rsidRDefault="009E1784" w:rsidP="00DD298B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 régime des pourparlers est d’origine prétorienne. Le Code civil de 1804 étant silencieux sur la phase de négociations précontractuelle, la jurisprudence a édicté un certain nombre de règles : </w:t>
      </w:r>
    </w:p>
    <w:p w14:paraId="38AD577A" w14:textId="77777777" w:rsidR="009E1784" w:rsidRDefault="009E1784" w:rsidP="009E1784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En principe : liberté (pré)contractuelle </w:t>
      </w:r>
      <w:r w:rsidRPr="009E1784">
        <w:rPr>
          <w:rFonts w:ascii="Garamond" w:hAnsi="Garamond" w:cs="Times New Roman"/>
        </w:rPr>
        <w:sym w:font="Wingdings" w:char="F0E8"/>
      </w:r>
      <w:r>
        <w:rPr>
          <w:rFonts w:ascii="Garamond" w:hAnsi="Garamond" w:cs="Times New Roman"/>
        </w:rPr>
        <w:t xml:space="preserve"> la rupture des pourparlers est libre, et n’est donc pas fautive en soi. </w:t>
      </w:r>
    </w:p>
    <w:p w14:paraId="6D01B73D" w14:textId="77777777" w:rsidR="009E1784" w:rsidRDefault="009E1784" w:rsidP="009E1784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Les négociations doivent être menées de bonne foi </w:t>
      </w:r>
      <w:r w:rsidRPr="009E1784">
        <w:rPr>
          <w:rFonts w:ascii="Garamond" w:hAnsi="Garamond" w:cs="Times New Roman"/>
        </w:rPr>
        <w:sym w:font="Wingdings" w:char="F0E8"/>
      </w:r>
      <w:r>
        <w:rPr>
          <w:rFonts w:ascii="Garamond" w:hAnsi="Garamond" w:cs="Times New Roman"/>
        </w:rPr>
        <w:t xml:space="preserve"> c’est donc la mauvaise foi du partenaire qui peut conduire à constater un abus et donc une faute d</w:t>
      </w:r>
      <w:r w:rsidR="00FA1B41">
        <w:rPr>
          <w:rFonts w:ascii="Garamond" w:hAnsi="Garamond" w:cs="Times New Roman"/>
        </w:rPr>
        <w:t xml:space="preserve">ans la rupture des pourparlers </w:t>
      </w:r>
      <w:r w:rsidR="00FA1B41" w:rsidRPr="00FA1B41">
        <w:rPr>
          <w:rFonts w:ascii="Garamond" w:hAnsi="Garamond" w:cs="Times New Roman"/>
        </w:rPr>
        <w:sym w:font="Wingdings" w:char="F0E8"/>
      </w:r>
      <w:r w:rsidR="00FA1B41">
        <w:rPr>
          <w:rFonts w:ascii="Garamond" w:hAnsi="Garamond" w:cs="Times New Roman"/>
        </w:rPr>
        <w:t xml:space="preserve"> constitution d’une </w:t>
      </w:r>
      <w:r w:rsidR="00FA1B41">
        <w:rPr>
          <w:rFonts w:ascii="Garamond" w:hAnsi="Garamond" w:cs="Times New Roman"/>
          <w:b/>
        </w:rPr>
        <w:t>faute précontractuelle</w:t>
      </w:r>
      <w:r w:rsidR="00FA1B41">
        <w:rPr>
          <w:rFonts w:ascii="Garamond" w:hAnsi="Garamond" w:cs="Times New Roman"/>
        </w:rPr>
        <w:t xml:space="preserve"> (</w:t>
      </w:r>
      <w:r w:rsidR="00FA1B41">
        <w:rPr>
          <w:rFonts w:ascii="Garamond" w:hAnsi="Garamond" w:cs="Times New Roman"/>
          <w:i/>
        </w:rPr>
        <w:t>com. 11 janvier 1984</w:t>
      </w:r>
      <w:r w:rsidR="00FA1B41">
        <w:rPr>
          <w:rFonts w:ascii="Garamond" w:hAnsi="Garamond" w:cs="Times New Roman"/>
        </w:rPr>
        <w:t xml:space="preserve">) </w:t>
      </w:r>
      <w:r w:rsidR="00FA1B41" w:rsidRPr="00FA1B41">
        <w:rPr>
          <w:rFonts w:ascii="Garamond" w:hAnsi="Garamond" w:cs="Times New Roman"/>
        </w:rPr>
        <w:sym w:font="Wingdings" w:char="F0E8"/>
      </w:r>
      <w:r w:rsidR="00FA1B41">
        <w:rPr>
          <w:rFonts w:ascii="Garamond" w:hAnsi="Garamond" w:cs="Times New Roman"/>
        </w:rPr>
        <w:t xml:space="preserve"> dommages-intérêts</w:t>
      </w:r>
    </w:p>
    <w:p w14:paraId="75DF89C8" w14:textId="77777777" w:rsidR="00FA1B41" w:rsidRDefault="00FA1B41" w:rsidP="00FA1B41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L’assiette du préjudice ne comprenait que les frais engagés par les négociations, mais pas la perte de chance de réaliser les gains espérés du contrat (</w:t>
      </w:r>
      <w:r>
        <w:rPr>
          <w:rFonts w:ascii="Garamond" w:hAnsi="Garamond" w:cs="Times New Roman"/>
          <w:i/>
        </w:rPr>
        <w:t>com. 26 nov. 2003 : Manoukian</w:t>
      </w:r>
      <w:r>
        <w:rPr>
          <w:rFonts w:ascii="Garamond" w:hAnsi="Garamond" w:cs="Times New Roman"/>
        </w:rPr>
        <w:t>)</w:t>
      </w:r>
      <w:r w:rsidRPr="00FA1B41">
        <w:rPr>
          <w:rFonts w:ascii="Garamond" w:hAnsi="Garamond" w:cs="Times New Roman"/>
        </w:rPr>
        <w:t>.</w:t>
      </w:r>
    </w:p>
    <w:p w14:paraId="1BB5A9C8" w14:textId="77777777" w:rsidR="00FA1B41" w:rsidRDefault="00FA1B41" w:rsidP="00FA1B41">
      <w:pPr>
        <w:jc w:val="both"/>
        <w:rPr>
          <w:rFonts w:ascii="Garamond" w:hAnsi="Garamond" w:cs="Times New Roman"/>
        </w:rPr>
      </w:pPr>
    </w:p>
    <w:p w14:paraId="233F1554" w14:textId="77777777" w:rsidR="00FA1B41" w:rsidRDefault="00FA1B41" w:rsidP="00FA1B41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L’ordonnance du 10 février 2016 consacre et précise le régime des négociations : </w:t>
      </w:r>
    </w:p>
    <w:p w14:paraId="46220FC8" w14:textId="77777777" w:rsidR="00FA1B41" w:rsidRDefault="00FA1B41" w:rsidP="00FA1B41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FA1B41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b/>
          <w:u w:val="single"/>
        </w:rPr>
        <w:t>Art. 1112</w:t>
      </w:r>
      <w:r>
        <w:rPr>
          <w:rFonts w:ascii="Garamond" w:hAnsi="Garamond" w:cs="Times New Roman"/>
        </w:rPr>
        <w:t xml:space="preserve"> : Liberté des négociations mais dans le respect de l’exigence de bonne foi (caractère impératif de la bonne foi)  (Al. 1) ; Al. 2 reprend quant à lui les règles de l’arrêt Manoukian. </w:t>
      </w:r>
    </w:p>
    <w:p w14:paraId="23C44473" w14:textId="77777777" w:rsidR="00FA1B41" w:rsidRDefault="00FA1B41" w:rsidP="00FA1B41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u w:val="single"/>
        </w:rPr>
        <w:t>Art. 1112-1</w:t>
      </w:r>
      <w:r>
        <w:rPr>
          <w:rFonts w:ascii="Garamond" w:hAnsi="Garamond" w:cs="Times New Roman"/>
        </w:rPr>
        <w:t> : devoir général d’information (</w:t>
      </w:r>
      <w:r>
        <w:rPr>
          <w:rFonts w:ascii="Garamond" w:hAnsi="Garamond" w:cs="Times New Roman"/>
          <w:i/>
        </w:rPr>
        <w:t>cf. civ. 3</w:t>
      </w:r>
      <w:r w:rsidRPr="00FA1B41">
        <w:rPr>
          <w:rFonts w:ascii="Garamond" w:hAnsi="Garamond" w:cs="Times New Roman"/>
          <w:i/>
          <w:vertAlign w:val="superscript"/>
        </w:rPr>
        <w:t>ème</w:t>
      </w:r>
      <w:r>
        <w:rPr>
          <w:rFonts w:ascii="Garamond" w:hAnsi="Garamond" w:cs="Times New Roman"/>
          <w:i/>
        </w:rPr>
        <w:t xml:space="preserve"> 29 oct. 2015</w:t>
      </w:r>
      <w:r>
        <w:rPr>
          <w:rFonts w:ascii="Garamond" w:hAnsi="Garamond" w:cs="Times New Roman"/>
        </w:rPr>
        <w:t>) :</w:t>
      </w:r>
    </w:p>
    <w:p w14:paraId="3B82AC9F" w14:textId="77777777" w:rsidR="00FA1B41" w:rsidRDefault="00FA1B41" w:rsidP="00FA1B41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u w:val="single"/>
        </w:rPr>
        <w:t>Al</w:t>
      </w:r>
      <w:r w:rsidRPr="00FA1B41">
        <w:rPr>
          <w:rFonts w:ascii="Garamond" w:hAnsi="Garamond" w:cs="Times New Roman"/>
        </w:rPr>
        <w:t>.</w:t>
      </w:r>
      <w:r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b/>
          <w:u w:val="single"/>
        </w:rPr>
        <w:t>1 </w:t>
      </w:r>
      <w:r>
        <w:rPr>
          <w:rFonts w:ascii="Garamond" w:hAnsi="Garamond" w:cs="Times New Roman"/>
        </w:rPr>
        <w:t xml:space="preserve">: chaque partie doit communiquer à l’autre une importance déterminante pour le consentement de l’autre s’il apparaît légitime que cette dernière ne peut pas en avoir connaissance. </w:t>
      </w:r>
    </w:p>
    <w:p w14:paraId="1F25161F" w14:textId="77777777" w:rsidR="00FA1B41" w:rsidRDefault="00FA1B41" w:rsidP="00FA1B41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u w:val="single"/>
        </w:rPr>
        <w:t>Al</w:t>
      </w:r>
      <w:r w:rsidRPr="00FA1B41">
        <w:rPr>
          <w:rFonts w:ascii="Garamond" w:hAnsi="Garamond" w:cs="Times New Roman"/>
        </w:rPr>
        <w:t>.</w:t>
      </w:r>
      <w:r>
        <w:rPr>
          <w:rFonts w:ascii="Garamond" w:hAnsi="Garamond" w:cs="Times New Roman"/>
          <w:b/>
          <w:u w:val="single"/>
        </w:rPr>
        <w:t>2 </w:t>
      </w:r>
      <w:r>
        <w:rPr>
          <w:rFonts w:ascii="Garamond" w:hAnsi="Garamond" w:cs="Times New Roman"/>
        </w:rPr>
        <w:t>: le devoir ne porte pas sur l’estimation de la valeur de la prestation</w:t>
      </w:r>
    </w:p>
    <w:p w14:paraId="6CCE6C3D" w14:textId="77777777" w:rsidR="00FA1B41" w:rsidRDefault="00FA1B41" w:rsidP="00FA1B41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u w:val="single"/>
        </w:rPr>
        <w:t>Al</w:t>
      </w:r>
      <w:r w:rsidRPr="00FA1B41">
        <w:rPr>
          <w:rFonts w:ascii="Garamond" w:hAnsi="Garamond" w:cs="Times New Roman"/>
        </w:rPr>
        <w:t>.</w:t>
      </w:r>
      <w:r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b/>
        </w:rPr>
        <w:t>3 </w:t>
      </w:r>
      <w:r>
        <w:rPr>
          <w:rFonts w:ascii="Garamond" w:hAnsi="Garamond" w:cs="Times New Roman"/>
        </w:rPr>
        <w:t xml:space="preserve">: importance déterminante de l’information (distinction avec le caractère déterminant en matière de vices du consentements). Certains auteurs préféraient le terme « pertinente ». </w:t>
      </w:r>
    </w:p>
    <w:p w14:paraId="461B5D37" w14:textId="77777777" w:rsidR="00FA1B41" w:rsidRDefault="00FA1B41" w:rsidP="00FA1B41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u w:val="single"/>
        </w:rPr>
        <w:t>Al</w:t>
      </w:r>
      <w:r w:rsidRPr="00FA1B41">
        <w:rPr>
          <w:rFonts w:ascii="Garamond" w:hAnsi="Garamond" w:cs="Times New Roman"/>
        </w:rPr>
        <w:t>.</w:t>
      </w:r>
      <w:r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b/>
          <w:u w:val="single"/>
        </w:rPr>
        <w:t>5 </w:t>
      </w:r>
      <w:r>
        <w:rPr>
          <w:rFonts w:ascii="Garamond" w:hAnsi="Garamond" w:cs="Times New Roman"/>
        </w:rPr>
        <w:t>: la charge de la preuve</w:t>
      </w:r>
      <w:r w:rsidR="00BE1842">
        <w:rPr>
          <w:rFonts w:ascii="Garamond" w:hAnsi="Garamond" w:cs="Times New Roman"/>
        </w:rPr>
        <w:t xml:space="preserve"> est répartie de la manière suivante : la partie se plaignant de ne pas avoir eu connaissance déterminante pour son consentement doit prouver que l’autre était en possession de cette information et lui devait – Cette dernière doit ensuite prouver qu’elle l’a effectivement communiquée. </w:t>
      </w:r>
    </w:p>
    <w:p w14:paraId="22D3E6F7" w14:textId="77777777" w:rsidR="00BE1842" w:rsidRDefault="00BE1842" w:rsidP="00FA1B41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u w:val="single"/>
        </w:rPr>
        <w:t>Al. 6</w:t>
      </w:r>
      <w:r>
        <w:rPr>
          <w:rFonts w:ascii="Garamond" w:hAnsi="Garamond" w:cs="Times New Roman"/>
        </w:rPr>
        <w:t xml:space="preserve"> : Impossibilité de limiter/exclure le devoir. On pourrait donc suggérer qu’il s’agit d’une disposition d’ordre public MAIS rien n’empêche les parties d’étendre ce devoir. </w:t>
      </w:r>
    </w:p>
    <w:p w14:paraId="36505F5B" w14:textId="77777777" w:rsidR="00BE1842" w:rsidRDefault="00BE1842" w:rsidP="00FA1B41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u w:val="single"/>
        </w:rPr>
        <w:t>Al.7</w:t>
      </w:r>
      <w:r>
        <w:rPr>
          <w:rFonts w:ascii="Garamond" w:hAnsi="Garamond" w:cs="Times New Roman"/>
        </w:rPr>
        <w:t xml:space="preserve"> : le manquement à ce devoir peut engager la responsabilité de la partie défaillante. Il peut également permettre de caractériser un vice du consentement et conduire, par voie de conséquence, à l’annulation du contrat. </w:t>
      </w:r>
    </w:p>
    <w:p w14:paraId="3B47B606" w14:textId="266B1D1B" w:rsidR="003875EC" w:rsidRDefault="003875EC" w:rsidP="003875EC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u w:val="single"/>
        </w:rPr>
        <w:t>Art 1112-2</w:t>
      </w:r>
      <w:r>
        <w:rPr>
          <w:rFonts w:ascii="Garamond" w:hAnsi="Garamond" w:cs="Times New Roman"/>
        </w:rPr>
        <w:t xml:space="preserve"> : pose la confidentialité des négociations : interdiction </w:t>
      </w:r>
      <w:r w:rsidRPr="003875EC">
        <w:rPr>
          <w:rFonts w:ascii="Garamond" w:hAnsi="Garamond" w:cs="Times New Roman"/>
          <w:u w:val="single"/>
        </w:rPr>
        <w:t>d’utiliser ou divulguer</w:t>
      </w:r>
      <w:r>
        <w:rPr>
          <w:rFonts w:ascii="Garamond" w:hAnsi="Garamond" w:cs="Times New Roman"/>
        </w:rPr>
        <w:t xml:space="preserve"> des informations confidentielles obtenues dans le cadre des négociations. </w:t>
      </w:r>
    </w:p>
    <w:p w14:paraId="446706CB" w14:textId="77777777" w:rsidR="00FA1B41" w:rsidRPr="00FA1B41" w:rsidRDefault="00FA1B41" w:rsidP="00FA1B41">
      <w:pPr>
        <w:pStyle w:val="Pardeliste"/>
        <w:jc w:val="both"/>
        <w:rPr>
          <w:rFonts w:ascii="Garamond" w:hAnsi="Garamond" w:cs="Times New Roman"/>
        </w:rPr>
      </w:pPr>
    </w:p>
    <w:p w14:paraId="3F7C6054" w14:textId="77777777" w:rsidR="009E1784" w:rsidRDefault="009E1784" w:rsidP="00DD298B">
      <w:pPr>
        <w:jc w:val="both"/>
        <w:rPr>
          <w:rFonts w:ascii="Garamond" w:hAnsi="Garamond" w:cs="Times New Roman"/>
        </w:rPr>
      </w:pPr>
    </w:p>
    <w:p w14:paraId="21885467" w14:textId="77777777" w:rsidR="008D2274" w:rsidRPr="008D2274" w:rsidRDefault="008D2274" w:rsidP="00DD298B">
      <w:pPr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8D2274">
        <w:rPr>
          <w:rFonts w:ascii="Garamond" w:hAnsi="Garamond" w:cs="Times New Roman"/>
          <w:b/>
          <w:sz w:val="28"/>
          <w:szCs w:val="28"/>
          <w:u w:val="single"/>
        </w:rPr>
        <w:t>III- Le pacte de préférence</w:t>
      </w:r>
    </w:p>
    <w:p w14:paraId="061ABDC0" w14:textId="77777777" w:rsidR="008D2274" w:rsidRDefault="008D2274" w:rsidP="00DD298B">
      <w:pPr>
        <w:jc w:val="both"/>
        <w:rPr>
          <w:rFonts w:ascii="Garamond" w:hAnsi="Garamond" w:cs="Times New Roman"/>
        </w:rPr>
      </w:pPr>
    </w:p>
    <w:p w14:paraId="46412BE2" w14:textId="434623DB" w:rsidR="003875EC" w:rsidRDefault="003875EC" w:rsidP="00DD298B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 pacte de préférence est un avant-contrat (ou contrat préparatoire). </w:t>
      </w:r>
    </w:p>
    <w:p w14:paraId="4D3D49D4" w14:textId="77777777" w:rsidR="003875EC" w:rsidRDefault="003875EC" w:rsidP="00DD298B">
      <w:pPr>
        <w:jc w:val="both"/>
        <w:rPr>
          <w:rFonts w:ascii="Garamond" w:hAnsi="Garamond" w:cs="Times New Roman"/>
        </w:rPr>
      </w:pPr>
    </w:p>
    <w:p w14:paraId="4FA20EB9" w14:textId="2D80510B" w:rsidR="003875EC" w:rsidRDefault="003875EC" w:rsidP="00DD298B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L’article </w:t>
      </w:r>
      <w:r>
        <w:rPr>
          <w:rFonts w:ascii="Garamond" w:hAnsi="Garamond" w:cs="Times New Roman"/>
          <w:b/>
          <w:u w:val="single"/>
        </w:rPr>
        <w:t>1123 al.1</w:t>
      </w:r>
      <w:r w:rsidRPr="003875EC">
        <w:rPr>
          <w:rFonts w:ascii="Garamond" w:hAnsi="Garamond" w:cs="Times New Roman"/>
          <w:b/>
          <w:u w:val="single"/>
          <w:vertAlign w:val="superscript"/>
        </w:rPr>
        <w:t>er</w:t>
      </w:r>
      <w:r>
        <w:rPr>
          <w:rFonts w:ascii="Garamond" w:hAnsi="Garamond" w:cs="Times New Roman"/>
        </w:rPr>
        <w:t xml:space="preserve"> donne désormais sa définition : « </w:t>
      </w:r>
      <w:r>
        <w:rPr>
          <w:rFonts w:ascii="Garamond" w:hAnsi="Garamond" w:cs="Times New Roman"/>
          <w:i/>
        </w:rPr>
        <w:t>contrat par lequel une partie s’engage à proposer prioritairement à son bénéficiaire de traiter avec lui pour le cas où elle déciderait de contracter</w:t>
      </w:r>
      <w:r>
        <w:rPr>
          <w:rFonts w:ascii="Garamond" w:hAnsi="Garamond" w:cs="Times New Roman"/>
        </w:rPr>
        <w:t xml:space="preserve"> » </w:t>
      </w:r>
      <w:r w:rsidRPr="003875EC">
        <w:rPr>
          <w:rFonts w:ascii="Garamond" w:hAnsi="Garamond" w:cs="Times New Roman"/>
        </w:rPr>
        <w:sym w:font="Wingdings" w:char="F0E8"/>
      </w:r>
      <w:r>
        <w:rPr>
          <w:rFonts w:ascii="Garamond" w:hAnsi="Garamond" w:cs="Times New Roman"/>
        </w:rPr>
        <w:t xml:space="preserve"> le promettant ne s’engage donc pas à vendre. </w:t>
      </w:r>
    </w:p>
    <w:p w14:paraId="3EB47F31" w14:textId="77777777" w:rsidR="003875EC" w:rsidRPr="003875EC" w:rsidRDefault="003875EC" w:rsidP="00DD298B">
      <w:pPr>
        <w:jc w:val="both"/>
        <w:rPr>
          <w:rFonts w:ascii="Garamond" w:hAnsi="Garamond" w:cs="Times New Roman"/>
        </w:rPr>
      </w:pPr>
    </w:p>
    <w:p w14:paraId="1CCDB60C" w14:textId="77777777" w:rsidR="003875EC" w:rsidRDefault="003875EC" w:rsidP="003875EC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Les règles relatives au pacte de préférence ont été édictées par la jurisprudence, principalement dans l’hypothèse de la violation du pacte, c’est à dire dans l’hypothèse où le promettant décide de vendre à un tiers, sans proposer la vente en priorité au bénéficiaire du pacte : </w:t>
      </w:r>
    </w:p>
    <w:p w14:paraId="17C554F4" w14:textId="7B6638A2" w:rsidR="003875EC" w:rsidRDefault="003875EC" w:rsidP="003875EC">
      <w:pPr>
        <w:jc w:val="both"/>
        <w:rPr>
          <w:rFonts w:ascii="Garamond" w:hAnsi="Garamond" w:cs="Times New Roman"/>
        </w:rPr>
      </w:pPr>
      <w:r w:rsidRPr="003875EC">
        <w:rPr>
          <w:rFonts w:ascii="Garamond" w:hAnsi="Garamond" w:cs="Times New Roman"/>
        </w:rPr>
        <w:sym w:font="Wingdings" w:char="F0E8"/>
      </w:r>
      <w:r>
        <w:rPr>
          <w:rFonts w:ascii="Garamond" w:hAnsi="Garamond" w:cs="Times New Roman"/>
        </w:rPr>
        <w:t xml:space="preserve"> Ch. Mixte. 26 mai 2006 : la substitution au tiers est possible (= exécution en nature) mais à </w:t>
      </w:r>
      <w:r>
        <w:rPr>
          <w:rFonts w:ascii="Garamond" w:hAnsi="Garamond" w:cs="Times New Roman"/>
          <w:b/>
        </w:rPr>
        <w:t>2 conditions</w:t>
      </w:r>
      <w:r>
        <w:rPr>
          <w:rFonts w:ascii="Garamond" w:hAnsi="Garamond" w:cs="Times New Roman"/>
        </w:rPr>
        <w:t xml:space="preserve"> : </w:t>
      </w:r>
    </w:p>
    <w:p w14:paraId="7674D6ED" w14:textId="3206A425" w:rsidR="003875EC" w:rsidRDefault="003875EC" w:rsidP="003875EC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 bénéficiaire doit prouver que le tiers avait connaissance de </w:t>
      </w:r>
      <w:r>
        <w:rPr>
          <w:rFonts w:ascii="Garamond" w:hAnsi="Garamond" w:cs="Times New Roman"/>
          <w:b/>
        </w:rPr>
        <w:t>l’existence</w:t>
      </w:r>
      <w:r>
        <w:rPr>
          <w:rFonts w:ascii="Garamond" w:hAnsi="Garamond" w:cs="Times New Roman"/>
        </w:rPr>
        <w:t xml:space="preserve"> du pacte de préférence</w:t>
      </w:r>
    </w:p>
    <w:p w14:paraId="27458B88" w14:textId="05DBFC8D" w:rsidR="003875EC" w:rsidRDefault="003875EC" w:rsidP="003875EC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 </w:t>
      </w:r>
      <w:r w:rsidR="00C84656">
        <w:rPr>
          <w:rFonts w:ascii="Garamond" w:hAnsi="Garamond" w:cs="Times New Roman"/>
        </w:rPr>
        <w:t xml:space="preserve">bénéficiaire doit prouver que le tiers avait connaissance de </w:t>
      </w:r>
      <w:r w:rsidR="00C84656" w:rsidRPr="00C84656">
        <w:rPr>
          <w:rFonts w:ascii="Garamond" w:hAnsi="Garamond" w:cs="Times New Roman"/>
          <w:b/>
        </w:rPr>
        <w:t>l’intention du bénéficiaire de s’en prévaloir</w:t>
      </w:r>
      <w:r w:rsidR="00C84656">
        <w:rPr>
          <w:rFonts w:ascii="Garamond" w:hAnsi="Garamond" w:cs="Times New Roman"/>
        </w:rPr>
        <w:t>. (</w:t>
      </w:r>
      <w:r w:rsidR="00C84656">
        <w:rPr>
          <w:rFonts w:ascii="Garamond" w:hAnsi="Garamond" w:cs="Times New Roman"/>
          <w:i/>
        </w:rPr>
        <w:t>probatio</w:t>
      </w:r>
      <w:r w:rsidR="00C84656" w:rsidRPr="00C84656">
        <w:rPr>
          <w:rFonts w:ascii="Garamond" w:hAnsi="Garamond" w:cs="Times New Roman"/>
          <w:i/>
        </w:rPr>
        <w:t xml:space="preserve"> diabolica</w:t>
      </w:r>
      <w:r w:rsidR="00C84656">
        <w:rPr>
          <w:rFonts w:ascii="Garamond" w:hAnsi="Garamond" w:cs="Times New Roman"/>
        </w:rPr>
        <w:t xml:space="preserve">) </w:t>
      </w:r>
    </w:p>
    <w:p w14:paraId="3136B532" w14:textId="77777777" w:rsidR="00C84656" w:rsidRDefault="00C84656" w:rsidP="00C84656">
      <w:pPr>
        <w:jc w:val="both"/>
        <w:rPr>
          <w:rFonts w:ascii="Garamond" w:hAnsi="Garamond" w:cs="Times New Roman"/>
        </w:rPr>
      </w:pPr>
    </w:p>
    <w:p w14:paraId="63745682" w14:textId="7BD43FF2" w:rsidR="00C84656" w:rsidRDefault="00C84656" w:rsidP="00C84656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L’article 1123 reprend ces conditions : </w:t>
      </w:r>
    </w:p>
    <w:p w14:paraId="091B6A93" w14:textId="521BA697" w:rsidR="00C84656" w:rsidRDefault="00C84656" w:rsidP="00C84656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Par principe, la violation du pacte conduira à une réparation par équivalent </w:t>
      </w:r>
      <w:r w:rsidRPr="00C84656">
        <w:rPr>
          <w:rFonts w:ascii="Garamond" w:hAnsi="Garamond" w:cs="Times New Roman"/>
        </w:rPr>
        <w:sym w:font="Wingdings" w:char="F0E8"/>
      </w:r>
      <w:r>
        <w:rPr>
          <w:rFonts w:ascii="Garamond" w:hAnsi="Garamond" w:cs="Times New Roman"/>
        </w:rPr>
        <w:t xml:space="preserve"> dommages-intérêts</w:t>
      </w:r>
    </w:p>
    <w:p w14:paraId="7B67A46B" w14:textId="666986B5" w:rsidR="00C84656" w:rsidRDefault="00C84656" w:rsidP="00C84656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Mais si le bénéficiaire démontre que les deux conditions précitées sont réunies, la substitution au tiers sera possible. </w:t>
      </w:r>
    </w:p>
    <w:p w14:paraId="6D62126B" w14:textId="77777777" w:rsidR="00C84656" w:rsidRDefault="00C84656" w:rsidP="00C84656">
      <w:pPr>
        <w:jc w:val="both"/>
        <w:rPr>
          <w:rFonts w:ascii="Garamond" w:hAnsi="Garamond" w:cs="Times New Roman"/>
        </w:rPr>
      </w:pPr>
    </w:p>
    <w:p w14:paraId="438621D6" w14:textId="7CE9281E" w:rsidR="00C84656" w:rsidRPr="00C84656" w:rsidRDefault="00C84656" w:rsidP="00C84656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Les alinéas 3 et 4 de l’article 1123 intègrent le mécanisme des actions interrogatoires ( rétroactives !) : permettent aux tiers d’interroger les potentiels bénéficiaires de pactes de préférence sur leurs intentions (par écrit + délai raisonnable) </w:t>
      </w:r>
      <w:r w:rsidRPr="00C84656">
        <w:rPr>
          <w:rFonts w:ascii="Garamond" w:hAnsi="Garamond" w:cs="Times New Roman"/>
        </w:rPr>
        <w:sym w:font="Wingdings" w:char="F0E8"/>
      </w:r>
      <w:r>
        <w:rPr>
          <w:rFonts w:ascii="Garamond" w:hAnsi="Garamond" w:cs="Times New Roman"/>
        </w:rPr>
        <w:t xml:space="preserve"> permettent de purger le pacte de préférence et donc protègent les tiers de la substitution. </w:t>
      </w:r>
    </w:p>
    <w:p w14:paraId="6951D812" w14:textId="77777777" w:rsidR="00C84656" w:rsidRPr="00C84656" w:rsidRDefault="00C84656" w:rsidP="00C84656">
      <w:pPr>
        <w:jc w:val="both"/>
        <w:rPr>
          <w:rFonts w:ascii="Garamond" w:hAnsi="Garamond" w:cs="Times New Roman"/>
        </w:rPr>
      </w:pPr>
    </w:p>
    <w:p w14:paraId="50431096" w14:textId="77777777" w:rsidR="003875EC" w:rsidRDefault="003875EC" w:rsidP="00DD298B">
      <w:pPr>
        <w:jc w:val="both"/>
        <w:rPr>
          <w:rFonts w:ascii="Garamond" w:hAnsi="Garamond" w:cs="Times New Roman"/>
        </w:rPr>
      </w:pPr>
    </w:p>
    <w:p w14:paraId="4AEE296B" w14:textId="77777777" w:rsidR="008D2274" w:rsidRPr="008D2274" w:rsidRDefault="008D2274" w:rsidP="00DD298B">
      <w:pPr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8D2274">
        <w:rPr>
          <w:rFonts w:ascii="Garamond" w:hAnsi="Garamond" w:cs="Times New Roman"/>
          <w:b/>
          <w:sz w:val="28"/>
          <w:szCs w:val="28"/>
          <w:u w:val="single"/>
        </w:rPr>
        <w:t xml:space="preserve">IV- La promesse unilatérale de contracter </w:t>
      </w:r>
    </w:p>
    <w:p w14:paraId="2DB7D054" w14:textId="77777777" w:rsidR="008D2274" w:rsidRDefault="008D2274" w:rsidP="00DD298B">
      <w:pPr>
        <w:jc w:val="both"/>
        <w:rPr>
          <w:rFonts w:ascii="Garamond" w:hAnsi="Garamond" w:cs="Times New Roman"/>
        </w:rPr>
      </w:pPr>
    </w:p>
    <w:p w14:paraId="641B31E5" w14:textId="151A4F9B" w:rsidR="006814CE" w:rsidRDefault="006814CE" w:rsidP="00DD298B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La promesse unilatérale est un </w:t>
      </w:r>
      <w:r w:rsidRPr="006814CE">
        <w:rPr>
          <w:rFonts w:ascii="Garamond" w:hAnsi="Garamond" w:cs="Times New Roman"/>
          <w:u w:val="single"/>
        </w:rPr>
        <w:t>contrat</w:t>
      </w:r>
      <w:r>
        <w:rPr>
          <w:rFonts w:ascii="Garamond" w:hAnsi="Garamond" w:cs="Times New Roman"/>
        </w:rPr>
        <w:t xml:space="preserve"> par lequel une partie, le promettant, promet à une autre, le bénéficiaire, de contracter, dans l’hypothèse où cette dernière lèverait l’option. </w:t>
      </w:r>
    </w:p>
    <w:p w14:paraId="78314468" w14:textId="77777777" w:rsidR="006814CE" w:rsidRDefault="006814CE" w:rsidP="00DD298B">
      <w:pPr>
        <w:jc w:val="both"/>
        <w:rPr>
          <w:rFonts w:ascii="Garamond" w:hAnsi="Garamond" w:cs="Times New Roman"/>
        </w:rPr>
      </w:pPr>
    </w:p>
    <w:p w14:paraId="2D6CB0AC" w14:textId="2709E08F" w:rsidR="006814CE" w:rsidRDefault="006814CE" w:rsidP="00DD298B">
      <w:pPr>
        <w:jc w:val="both"/>
        <w:rPr>
          <w:rFonts w:ascii="Garamond" w:hAnsi="Garamond" w:cs="Times New Roman"/>
        </w:rPr>
      </w:pPr>
      <w:r w:rsidRPr="006814CE">
        <w:rPr>
          <w:rFonts w:ascii="Garamond" w:hAnsi="Garamond" w:cs="Times New Roman"/>
        </w:rPr>
        <w:sym w:font="Wingdings" w:char="F0E0"/>
      </w:r>
      <w:r>
        <w:rPr>
          <w:rFonts w:ascii="Garamond" w:hAnsi="Garamond" w:cs="Times New Roman"/>
        </w:rPr>
        <w:t xml:space="preserve"> Consécration par l’ordonnance de 2016 au travers de </w:t>
      </w:r>
      <w:r w:rsidRPr="006814CE">
        <w:rPr>
          <w:rFonts w:ascii="Garamond" w:hAnsi="Garamond" w:cs="Times New Roman"/>
          <w:b/>
          <w:u w:val="single"/>
        </w:rPr>
        <w:t>l’article 1124</w:t>
      </w:r>
      <w:r>
        <w:rPr>
          <w:rFonts w:ascii="Garamond" w:hAnsi="Garamond" w:cs="Times New Roman"/>
        </w:rPr>
        <w:t xml:space="preserve"> du Code civil : </w:t>
      </w:r>
    </w:p>
    <w:p w14:paraId="560C16D0" w14:textId="77777777" w:rsidR="006814CE" w:rsidRDefault="006814CE" w:rsidP="006814CE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6814CE">
        <w:rPr>
          <w:rFonts w:ascii="Garamond" w:hAnsi="Garamond" w:cs="Times New Roman"/>
          <w:b/>
          <w:u w:val="single"/>
        </w:rPr>
        <w:t>Al 1</w:t>
      </w:r>
      <w:r w:rsidRPr="006814CE">
        <w:rPr>
          <w:rFonts w:ascii="Garamond" w:hAnsi="Garamond" w:cs="Times New Roman"/>
          <w:b/>
          <w:u w:val="single"/>
          <w:vertAlign w:val="superscript"/>
        </w:rPr>
        <w:t>er</w:t>
      </w:r>
      <w:r w:rsidRPr="006814CE">
        <w:rPr>
          <w:rFonts w:ascii="Garamond" w:hAnsi="Garamond" w:cs="Times New Roman"/>
          <w:b/>
          <w:u w:val="single"/>
        </w:rPr>
        <w:t> </w:t>
      </w:r>
      <w:r>
        <w:rPr>
          <w:rFonts w:ascii="Garamond" w:hAnsi="Garamond" w:cs="Times New Roman"/>
        </w:rPr>
        <w:t xml:space="preserve">: </w:t>
      </w:r>
    </w:p>
    <w:p w14:paraId="6E17EDC7" w14:textId="63E25A9A" w:rsidR="006814CE" w:rsidRDefault="006814CE" w:rsidP="006814CE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Bien qu’il s’agisse souvent de PUV, la promesse unilatérale peut porter sur tout type de contrat. </w:t>
      </w:r>
    </w:p>
    <w:p w14:paraId="6A034789" w14:textId="76F5642B" w:rsidR="006814CE" w:rsidRDefault="006814CE" w:rsidP="006814CE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La promesse laisse un « droit d’opter » au bénéficiaire – les éléments essentiels du contrat ayant d’ores et déjà été déterminés, seul le consentement du bénéficiaire manque pour que le contrat soit formé. </w:t>
      </w:r>
    </w:p>
    <w:p w14:paraId="4A8DC46A" w14:textId="7D7B7508" w:rsidR="003F5E4C" w:rsidRDefault="003F5E4C" w:rsidP="003F5E4C">
      <w:pPr>
        <w:pStyle w:val="Pardeliste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3F5E4C">
        <w:rPr>
          <w:rFonts w:ascii="Garamond" w:hAnsi="Garamond" w:cs="Times New Roman"/>
          <w:b/>
          <w:u w:val="single"/>
        </w:rPr>
        <w:t>Al. 2</w:t>
      </w:r>
      <w:r w:rsidRPr="003F5E4C">
        <w:rPr>
          <w:rFonts w:ascii="Garamond" w:hAnsi="Garamond" w:cs="Times New Roman"/>
          <w:u w:val="single"/>
        </w:rPr>
        <w:t> </w:t>
      </w:r>
      <w:r>
        <w:rPr>
          <w:rFonts w:ascii="Garamond" w:hAnsi="Garamond" w:cs="Times New Roman"/>
        </w:rPr>
        <w:t>: semble répondre à la question de la rétractation de la promesse :</w:t>
      </w:r>
    </w:p>
    <w:p w14:paraId="0445AEF1" w14:textId="2B962B2C" w:rsidR="003F5E4C" w:rsidRDefault="003F5E4C" w:rsidP="003F5E4C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u w:val="single"/>
        </w:rPr>
        <w:t>JP avant ordo. 2016</w:t>
      </w:r>
      <w:r>
        <w:rPr>
          <w:rFonts w:ascii="Garamond" w:hAnsi="Garamond" w:cs="Times New Roman"/>
        </w:rPr>
        <w:t xml:space="preserve"> : si la rétractation par le promettant intervient avant la levée d’option par le bénéficiaire </w:t>
      </w:r>
      <w:r w:rsidRPr="003F5E4C">
        <w:rPr>
          <w:rFonts w:ascii="Garamond" w:hAnsi="Garamond" w:cs="Times New Roman"/>
        </w:rPr>
        <w:sym w:font="Wingdings" w:char="F0E8"/>
      </w:r>
      <w:r>
        <w:rPr>
          <w:rFonts w:ascii="Garamond" w:hAnsi="Garamond" w:cs="Times New Roman"/>
        </w:rPr>
        <w:t xml:space="preserve"> pas de rencontre des volontés DONC la sanction ne pourra être constituée par l’exécution forcée du contrat, mais seulement par des dommages-intérêts (</w:t>
      </w:r>
      <w:r>
        <w:rPr>
          <w:rFonts w:ascii="Garamond" w:hAnsi="Garamond" w:cs="Times New Roman"/>
          <w:i/>
        </w:rPr>
        <w:t>Cf. arrêt Cruz, 15 décembre 1993</w:t>
      </w:r>
      <w:r>
        <w:rPr>
          <w:rFonts w:ascii="Garamond" w:hAnsi="Garamond" w:cs="Times New Roman"/>
        </w:rPr>
        <w:t xml:space="preserve">). </w:t>
      </w:r>
    </w:p>
    <w:p w14:paraId="4E7CFA2B" w14:textId="099BADAE" w:rsidR="003F5E4C" w:rsidRPr="006814CE" w:rsidRDefault="003F5E4C" w:rsidP="003F5E4C">
      <w:pPr>
        <w:pStyle w:val="Pardeliste"/>
        <w:numPr>
          <w:ilvl w:val="1"/>
          <w:numId w:val="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u w:val="single"/>
        </w:rPr>
        <w:t>O</w:t>
      </w:r>
      <w:r w:rsidRPr="003F5E4C">
        <w:rPr>
          <w:rFonts w:ascii="Garamond" w:hAnsi="Garamond" w:cs="Times New Roman"/>
          <w:u w:val="single"/>
        </w:rPr>
        <w:t>rdo. 2016</w:t>
      </w:r>
      <w:r>
        <w:rPr>
          <w:rFonts w:ascii="Garamond" w:hAnsi="Garamond" w:cs="Times New Roman"/>
        </w:rPr>
        <w:t xml:space="preserve"> : prend acte de la vive opposition doctrinale face à la JP antérieure. Désormais la rétractation avant la levée d’option est censée être inefficace et ne pourra empêcher la conclusion du contrat si l’option est finalement levée </w:t>
      </w:r>
      <w:r w:rsidRPr="003F5E4C">
        <w:rPr>
          <w:rFonts w:ascii="Garamond" w:hAnsi="Garamond" w:cs="Times New Roman"/>
        </w:rPr>
        <w:sym w:font="Wingdings" w:char="F0E8"/>
      </w:r>
      <w:r>
        <w:rPr>
          <w:rFonts w:ascii="Garamond" w:hAnsi="Garamond" w:cs="Times New Roman"/>
        </w:rPr>
        <w:t xml:space="preserve"> renforcement de l’efficacité de la promesse. </w:t>
      </w:r>
      <w:bookmarkStart w:id="0" w:name="_GoBack"/>
      <w:bookmarkEnd w:id="0"/>
    </w:p>
    <w:sectPr w:rsidR="003F5E4C" w:rsidRPr="006814CE" w:rsidSect="000A2C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7F1A"/>
    <w:multiLevelType w:val="hybridMultilevel"/>
    <w:tmpl w:val="23528946"/>
    <w:lvl w:ilvl="0" w:tplc="A11E90F8">
      <w:start w:val="4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A72A0"/>
    <w:multiLevelType w:val="hybridMultilevel"/>
    <w:tmpl w:val="0B0882F6"/>
    <w:lvl w:ilvl="0" w:tplc="DD244A76">
      <w:start w:val="4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F2B96"/>
    <w:multiLevelType w:val="hybridMultilevel"/>
    <w:tmpl w:val="9D04152C"/>
    <w:lvl w:ilvl="0" w:tplc="B454ADE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74"/>
    <w:rsid w:val="000216EB"/>
    <w:rsid w:val="000A2CAA"/>
    <w:rsid w:val="002713C3"/>
    <w:rsid w:val="003453A6"/>
    <w:rsid w:val="003875EC"/>
    <w:rsid w:val="003F5E4C"/>
    <w:rsid w:val="006814CE"/>
    <w:rsid w:val="008D2274"/>
    <w:rsid w:val="009D31B5"/>
    <w:rsid w:val="009E1784"/>
    <w:rsid w:val="00BE1842"/>
    <w:rsid w:val="00C84656"/>
    <w:rsid w:val="00C85AB5"/>
    <w:rsid w:val="00DD298B"/>
    <w:rsid w:val="00FA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C43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D298B"/>
    <w:pPr>
      <w:ind w:left="720"/>
      <w:contextualSpacing/>
    </w:pPr>
  </w:style>
  <w:style w:type="table" w:styleId="Grilledutableau">
    <w:name w:val="Table Grid"/>
    <w:basedOn w:val="TableauNormal"/>
    <w:uiPriority w:val="39"/>
    <w:rsid w:val="00DD2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1489</Words>
  <Characters>8193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2019-10-28T07:43:00Z</dcterms:created>
  <dcterms:modified xsi:type="dcterms:W3CDTF">2019-10-28T09:29:00Z</dcterms:modified>
</cp:coreProperties>
</file>