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314C57" w14:textId="77777777" w:rsidR="008A3457" w:rsidRPr="00DD0DFE" w:rsidRDefault="00DD0DFE" w:rsidP="00B97EA3">
      <w:pPr>
        <w:jc w:val="both"/>
        <w:rPr>
          <w:rFonts w:ascii="Garamond" w:hAnsi="Garamond"/>
          <w:b/>
          <w:u w:val="single"/>
        </w:rPr>
      </w:pPr>
      <w:r w:rsidRPr="00DD0DFE">
        <w:rPr>
          <w:rFonts w:ascii="Garamond" w:hAnsi="Garamond"/>
          <w:b/>
          <w:u w:val="single"/>
        </w:rPr>
        <w:t>SEANCE LE PACTE DE PREFERENE</w:t>
      </w:r>
      <w:r>
        <w:rPr>
          <w:rFonts w:ascii="Garamond" w:hAnsi="Garamond"/>
          <w:b/>
          <w:u w:val="single"/>
        </w:rPr>
        <w:t>C</w:t>
      </w:r>
      <w:r w:rsidRPr="00DD0DFE">
        <w:rPr>
          <w:rFonts w:ascii="Garamond" w:hAnsi="Garamond"/>
          <w:b/>
          <w:u w:val="single"/>
        </w:rPr>
        <w:t xml:space="preserve"> – JURISPERFORM</w:t>
      </w:r>
    </w:p>
    <w:p w14:paraId="6E4A77B9" w14:textId="77777777" w:rsidR="00DD0DFE" w:rsidRPr="00DD0DFE" w:rsidRDefault="00DD0DFE" w:rsidP="00B97EA3">
      <w:pPr>
        <w:jc w:val="both"/>
        <w:rPr>
          <w:rFonts w:ascii="Garamond" w:hAnsi="Garamond"/>
          <w:b/>
        </w:rPr>
      </w:pPr>
    </w:p>
    <w:p w14:paraId="39DFF768" w14:textId="77777777" w:rsidR="00DD0DFE" w:rsidRDefault="00DD0DFE" w:rsidP="00B97EA3">
      <w:pPr>
        <w:jc w:val="both"/>
        <w:rPr>
          <w:rFonts w:ascii="Garamond" w:hAnsi="Garamond"/>
          <w:b/>
        </w:rPr>
      </w:pPr>
    </w:p>
    <w:p w14:paraId="60232CB7" w14:textId="77777777" w:rsidR="00DD0DFE" w:rsidRPr="00DD0DFE" w:rsidRDefault="00DD0DFE" w:rsidP="00B97EA3">
      <w:pPr>
        <w:jc w:val="both"/>
        <w:rPr>
          <w:rFonts w:ascii="Garamond" w:hAnsi="Garamond"/>
          <w:b/>
          <w:u w:val="single"/>
        </w:rPr>
      </w:pPr>
      <w:r w:rsidRPr="00DD0DFE">
        <w:rPr>
          <w:rFonts w:ascii="Garamond" w:hAnsi="Garamond"/>
          <w:b/>
          <w:u w:val="single"/>
        </w:rPr>
        <w:t xml:space="preserve">Arrêt </w:t>
      </w:r>
      <w:proofErr w:type="spellStart"/>
      <w:r w:rsidRPr="00DD0DFE">
        <w:rPr>
          <w:rFonts w:ascii="Garamond" w:hAnsi="Garamond"/>
          <w:b/>
          <w:u w:val="single"/>
        </w:rPr>
        <w:t>Civ</w:t>
      </w:r>
      <w:proofErr w:type="spellEnd"/>
      <w:r w:rsidRPr="00DD0DFE">
        <w:rPr>
          <w:rFonts w:ascii="Garamond" w:hAnsi="Garamond"/>
          <w:b/>
          <w:u w:val="single"/>
        </w:rPr>
        <w:t>. 3</w:t>
      </w:r>
      <w:proofErr w:type="gramStart"/>
      <w:r w:rsidRPr="00DD0DFE">
        <w:rPr>
          <w:rFonts w:ascii="Garamond" w:hAnsi="Garamond"/>
          <w:b/>
          <w:u w:val="single"/>
          <w:vertAlign w:val="superscript"/>
        </w:rPr>
        <w:t>e</w:t>
      </w:r>
      <w:r w:rsidRPr="00DD0DFE">
        <w:rPr>
          <w:rFonts w:ascii="Garamond" w:hAnsi="Garamond"/>
          <w:b/>
          <w:u w:val="single"/>
        </w:rPr>
        <w:t>,  6</w:t>
      </w:r>
      <w:proofErr w:type="gramEnd"/>
      <w:r w:rsidRPr="00DD0DFE">
        <w:rPr>
          <w:rFonts w:ascii="Garamond" w:hAnsi="Garamond"/>
          <w:b/>
          <w:u w:val="single"/>
        </w:rPr>
        <w:t xml:space="preserve"> décembre 2018 :</w:t>
      </w:r>
    </w:p>
    <w:p w14:paraId="407763D0" w14:textId="77777777" w:rsidR="00DD0DFE" w:rsidRDefault="00DD0DFE" w:rsidP="00B97EA3">
      <w:pPr>
        <w:jc w:val="both"/>
        <w:rPr>
          <w:rFonts w:ascii="Garamond" w:hAnsi="Garamond"/>
          <w:b/>
        </w:rPr>
      </w:pPr>
    </w:p>
    <w:p w14:paraId="3F3CFBA7" w14:textId="77777777" w:rsidR="00DD0DFE" w:rsidRPr="00DD0DFE" w:rsidRDefault="00DD0DFE" w:rsidP="00B97EA3">
      <w:pPr>
        <w:jc w:val="both"/>
        <w:rPr>
          <w:rFonts w:ascii="Garamond" w:hAnsi="Garamond"/>
        </w:rPr>
      </w:pPr>
    </w:p>
    <w:p w14:paraId="218F0E63" w14:textId="77777777" w:rsidR="00DD0DFE" w:rsidRDefault="00DD0DFE" w:rsidP="00B97EA3">
      <w:pPr>
        <w:jc w:val="both"/>
        <w:rPr>
          <w:rFonts w:ascii="Garamond" w:hAnsi="Garamond"/>
        </w:rPr>
      </w:pPr>
      <w:r>
        <w:rPr>
          <w:rFonts w:ascii="Garamond" w:hAnsi="Garamond"/>
          <w:b/>
        </w:rPr>
        <w:t>Faits matériels</w:t>
      </w:r>
      <w:r>
        <w:rPr>
          <w:rFonts w:ascii="Garamond" w:hAnsi="Garamond"/>
        </w:rPr>
        <w:t xml:space="preserve"> : </w:t>
      </w:r>
    </w:p>
    <w:p w14:paraId="0827A1D8" w14:textId="77777777" w:rsidR="00DD0DFE" w:rsidRDefault="00DD0DFE" w:rsidP="00B97EA3">
      <w:pPr>
        <w:pStyle w:val="Pardeliste"/>
        <w:numPr>
          <w:ilvl w:val="0"/>
          <w:numId w:val="1"/>
        </w:numPr>
        <w:jc w:val="both"/>
        <w:rPr>
          <w:rFonts w:ascii="Garamond" w:hAnsi="Garamond"/>
        </w:rPr>
      </w:pPr>
      <w:r>
        <w:rPr>
          <w:rFonts w:ascii="Garamond" w:hAnsi="Garamond"/>
        </w:rPr>
        <w:t>M.Z consent un pacte de préférence auprès du bénéficiaire, Mme X le 28 octobre 1999 pour 10 ans, à propos deux 2 lots dans un immeuble en copropriété</w:t>
      </w:r>
    </w:p>
    <w:p w14:paraId="73787F95" w14:textId="77777777" w:rsidR="00DD0DFE" w:rsidRDefault="00DD0DFE" w:rsidP="00B97EA3">
      <w:pPr>
        <w:pStyle w:val="Pardeliste"/>
        <w:numPr>
          <w:ilvl w:val="0"/>
          <w:numId w:val="1"/>
        </w:numPr>
        <w:jc w:val="both"/>
        <w:rPr>
          <w:rFonts w:ascii="Garamond" w:hAnsi="Garamond"/>
        </w:rPr>
      </w:pPr>
      <w:r>
        <w:rPr>
          <w:rFonts w:ascii="Garamond" w:hAnsi="Garamond"/>
        </w:rPr>
        <w:t>M. Z promet ensuite unilatéralement la vente de ces mêmes lots à M.F (2 septembre 2009)</w:t>
      </w:r>
    </w:p>
    <w:p w14:paraId="70C36618" w14:textId="77777777" w:rsidR="00DD0DFE" w:rsidRDefault="00DD0DFE" w:rsidP="00B97EA3">
      <w:pPr>
        <w:pStyle w:val="Pardeliste"/>
        <w:numPr>
          <w:ilvl w:val="0"/>
          <w:numId w:val="1"/>
        </w:numPr>
        <w:jc w:val="both"/>
        <w:rPr>
          <w:rFonts w:ascii="Garamond" w:hAnsi="Garamond"/>
        </w:rPr>
      </w:pPr>
      <w:r>
        <w:rPr>
          <w:rFonts w:ascii="Garamond" w:hAnsi="Garamond"/>
        </w:rPr>
        <w:t>La vente de l’immeuble se conclut finalement par acte notarié le 16 novembre 2009</w:t>
      </w:r>
    </w:p>
    <w:p w14:paraId="1330A760" w14:textId="77777777" w:rsidR="00DD0DFE" w:rsidRDefault="00DD0DFE" w:rsidP="00B97EA3">
      <w:pPr>
        <w:jc w:val="both"/>
        <w:rPr>
          <w:rFonts w:ascii="Garamond" w:hAnsi="Garamond"/>
        </w:rPr>
      </w:pPr>
      <w:r>
        <w:rPr>
          <w:rFonts w:ascii="Garamond" w:hAnsi="Garamond"/>
          <w:b/>
        </w:rPr>
        <w:t>Faits judiciaires</w:t>
      </w:r>
      <w:r>
        <w:rPr>
          <w:rFonts w:ascii="Garamond" w:hAnsi="Garamond"/>
        </w:rPr>
        <w:t xml:space="preserve"> : </w:t>
      </w:r>
    </w:p>
    <w:p w14:paraId="4C91BCB4" w14:textId="77777777" w:rsidR="00DD0DFE" w:rsidRDefault="00DD0DFE" w:rsidP="00B97EA3">
      <w:pPr>
        <w:pStyle w:val="Pardeliste"/>
        <w:numPr>
          <w:ilvl w:val="0"/>
          <w:numId w:val="1"/>
        </w:numPr>
        <w:jc w:val="both"/>
        <w:rPr>
          <w:rFonts w:ascii="Garamond" w:hAnsi="Garamond"/>
        </w:rPr>
      </w:pPr>
      <w:r>
        <w:rPr>
          <w:rFonts w:ascii="Garamond" w:hAnsi="Garamond"/>
        </w:rPr>
        <w:t xml:space="preserve">Mme X, bénéficiaire du PDP assigne M. Z, M.F, les notaires et Archipel (agent immobilier) en annulation de la vente, substitution dans les droits de </w:t>
      </w:r>
      <w:proofErr w:type="gramStart"/>
      <w:r>
        <w:rPr>
          <w:rFonts w:ascii="Garamond" w:hAnsi="Garamond"/>
        </w:rPr>
        <w:t>l’acquéreur ,</w:t>
      </w:r>
      <w:proofErr w:type="gramEnd"/>
      <w:r>
        <w:rPr>
          <w:rFonts w:ascii="Garamond" w:hAnsi="Garamond"/>
        </w:rPr>
        <w:t xml:space="preserve"> expulsion de ce dernier et paiement de DI </w:t>
      </w:r>
    </w:p>
    <w:p w14:paraId="0E013364" w14:textId="77777777" w:rsidR="00DD0DFE" w:rsidRDefault="00DD0DFE" w:rsidP="00B97EA3">
      <w:pPr>
        <w:pStyle w:val="Pardeliste"/>
        <w:numPr>
          <w:ilvl w:val="0"/>
          <w:numId w:val="1"/>
        </w:numPr>
        <w:jc w:val="both"/>
        <w:rPr>
          <w:rFonts w:ascii="Garamond" w:hAnsi="Garamond"/>
        </w:rPr>
      </w:pPr>
      <w:proofErr w:type="gramStart"/>
      <w:r>
        <w:rPr>
          <w:rFonts w:ascii="Garamond" w:hAnsi="Garamond"/>
        </w:rPr>
        <w:t>CA Fort de France</w:t>
      </w:r>
      <w:proofErr w:type="gramEnd"/>
      <w:r>
        <w:rPr>
          <w:rFonts w:ascii="Garamond" w:hAnsi="Garamond"/>
        </w:rPr>
        <w:t>, 25 avril 2017, déboute Mme Z de ses demandes</w:t>
      </w:r>
    </w:p>
    <w:p w14:paraId="5F1D2951" w14:textId="77777777" w:rsidR="00DD0DFE" w:rsidRDefault="00DD0DFE" w:rsidP="00B97EA3">
      <w:pPr>
        <w:pStyle w:val="Pardeliste"/>
        <w:numPr>
          <w:ilvl w:val="0"/>
          <w:numId w:val="1"/>
        </w:numPr>
        <w:jc w:val="both"/>
        <w:rPr>
          <w:rFonts w:ascii="Garamond" w:hAnsi="Garamond"/>
        </w:rPr>
      </w:pPr>
      <w:r>
        <w:rPr>
          <w:rFonts w:ascii="Garamond" w:hAnsi="Garamond"/>
        </w:rPr>
        <w:t xml:space="preserve">Cette dernière forme alors un pourvoi en cassation </w:t>
      </w:r>
    </w:p>
    <w:p w14:paraId="7CC6E5C8" w14:textId="5803844E" w:rsidR="00DD0DFE" w:rsidRDefault="00DD0DFE" w:rsidP="00B97EA3">
      <w:pPr>
        <w:pStyle w:val="Pardeliste"/>
        <w:numPr>
          <w:ilvl w:val="0"/>
          <w:numId w:val="1"/>
        </w:numPr>
        <w:jc w:val="both"/>
        <w:rPr>
          <w:rFonts w:ascii="Garamond" w:hAnsi="Garamond"/>
        </w:rPr>
      </w:pPr>
      <w:proofErr w:type="spellStart"/>
      <w:r>
        <w:rPr>
          <w:rFonts w:ascii="Garamond" w:hAnsi="Garamond"/>
        </w:rPr>
        <w:t>Civ</w:t>
      </w:r>
      <w:proofErr w:type="spellEnd"/>
      <w:r>
        <w:rPr>
          <w:rFonts w:ascii="Garamond" w:hAnsi="Garamond"/>
        </w:rPr>
        <w:t xml:space="preserve"> 3 </w:t>
      </w:r>
      <w:r w:rsidR="00B075B1">
        <w:rPr>
          <w:rFonts w:ascii="Garamond" w:hAnsi="Garamond"/>
        </w:rPr>
        <w:t xml:space="preserve">6 décembre 2018 </w:t>
      </w:r>
      <w:r>
        <w:rPr>
          <w:rFonts w:ascii="Garamond" w:hAnsi="Garamond"/>
        </w:rPr>
        <w:t>casse et annule</w:t>
      </w:r>
    </w:p>
    <w:p w14:paraId="756A364B" w14:textId="77777777" w:rsidR="00DD0DFE" w:rsidRDefault="00DD0DFE" w:rsidP="00B97EA3">
      <w:pPr>
        <w:jc w:val="both"/>
        <w:rPr>
          <w:rFonts w:ascii="Garamond" w:hAnsi="Garamond"/>
        </w:rPr>
      </w:pPr>
    </w:p>
    <w:p w14:paraId="06B1D934" w14:textId="77777777" w:rsidR="00DD0DFE" w:rsidRDefault="00DD0DFE" w:rsidP="00B97EA3">
      <w:pPr>
        <w:jc w:val="both"/>
        <w:rPr>
          <w:rFonts w:ascii="Garamond" w:hAnsi="Garamond"/>
        </w:rPr>
      </w:pPr>
      <w:r>
        <w:rPr>
          <w:rFonts w:ascii="Garamond" w:hAnsi="Garamond"/>
          <w:b/>
        </w:rPr>
        <w:t>Problème de droit</w:t>
      </w:r>
      <w:r>
        <w:rPr>
          <w:rFonts w:ascii="Garamond" w:hAnsi="Garamond"/>
        </w:rPr>
        <w:t xml:space="preserve"> : La conclusion d’un pacte de préférence induite elle nécessairement l’obligation, pour le promettant, de donner priorité au bénéficiaire en cas de vente du bien ? </w:t>
      </w:r>
    </w:p>
    <w:p w14:paraId="6FE66067" w14:textId="77777777" w:rsidR="00DD0DFE" w:rsidRDefault="00DD0DFE" w:rsidP="00B97EA3">
      <w:pPr>
        <w:jc w:val="both"/>
        <w:rPr>
          <w:rFonts w:ascii="Garamond" w:hAnsi="Garamond"/>
        </w:rPr>
      </w:pPr>
    </w:p>
    <w:p w14:paraId="740D3851" w14:textId="77777777" w:rsidR="00DD0DFE" w:rsidRDefault="00DD0DFE" w:rsidP="00B97EA3">
      <w:pPr>
        <w:jc w:val="both"/>
        <w:rPr>
          <w:rFonts w:ascii="Garamond" w:hAnsi="Garamond"/>
        </w:rPr>
      </w:pPr>
      <w:r>
        <w:rPr>
          <w:rFonts w:ascii="Garamond" w:hAnsi="Garamond"/>
        </w:rPr>
        <w:t>REPONSE : OUI DONC PROMESSE UNILATERALE ULTERIEURE INOPÉRANTE</w:t>
      </w:r>
    </w:p>
    <w:p w14:paraId="3A3660A8" w14:textId="77777777" w:rsidR="00DD0DFE" w:rsidRDefault="00DD0DFE" w:rsidP="00B97EA3">
      <w:pPr>
        <w:jc w:val="both"/>
        <w:rPr>
          <w:rFonts w:ascii="Garamond" w:hAnsi="Garamond"/>
        </w:rPr>
      </w:pPr>
    </w:p>
    <w:p w14:paraId="5326CFCB" w14:textId="77777777" w:rsidR="00DD0DFE" w:rsidRDefault="00DD0DFE" w:rsidP="00B97EA3">
      <w:pPr>
        <w:jc w:val="both"/>
        <w:rPr>
          <w:rFonts w:ascii="Garamond" w:hAnsi="Garamond"/>
        </w:rPr>
      </w:pPr>
    </w:p>
    <w:p w14:paraId="12FE7285" w14:textId="77777777" w:rsidR="00DD0DFE" w:rsidRPr="00B97EA3" w:rsidRDefault="00E956A5" w:rsidP="00B97EA3">
      <w:pPr>
        <w:pStyle w:val="Pardeliste"/>
        <w:numPr>
          <w:ilvl w:val="0"/>
          <w:numId w:val="4"/>
        </w:numPr>
        <w:jc w:val="both"/>
        <w:rPr>
          <w:rFonts w:ascii="Garamond" w:hAnsi="Garamond"/>
          <w:b/>
        </w:rPr>
      </w:pPr>
      <w:r w:rsidRPr="00B97EA3">
        <w:rPr>
          <w:rFonts w:ascii="Garamond" w:hAnsi="Garamond"/>
          <w:b/>
        </w:rPr>
        <w:t xml:space="preserve">La réaffirmation </w:t>
      </w:r>
      <w:r w:rsidR="00103197" w:rsidRPr="00B97EA3">
        <w:rPr>
          <w:rFonts w:ascii="Garamond" w:hAnsi="Garamond"/>
          <w:b/>
        </w:rPr>
        <w:t>logique du principe</w:t>
      </w:r>
      <w:r w:rsidRPr="00B97EA3">
        <w:rPr>
          <w:rFonts w:ascii="Garamond" w:hAnsi="Garamond"/>
          <w:b/>
        </w:rPr>
        <w:t xml:space="preserve"> d</w:t>
      </w:r>
      <w:r w:rsidR="00103197" w:rsidRPr="00B97EA3">
        <w:rPr>
          <w:rFonts w:ascii="Garamond" w:hAnsi="Garamond"/>
          <w:b/>
        </w:rPr>
        <w:t xml:space="preserve">u </w:t>
      </w:r>
      <w:r w:rsidRPr="00B97EA3">
        <w:rPr>
          <w:rFonts w:ascii="Garamond" w:hAnsi="Garamond"/>
          <w:b/>
        </w:rPr>
        <w:t>pacte de préférence</w:t>
      </w:r>
    </w:p>
    <w:p w14:paraId="467C0EA4" w14:textId="77777777" w:rsidR="00DD0DFE" w:rsidRDefault="00DD0DFE" w:rsidP="00B97EA3">
      <w:pPr>
        <w:jc w:val="both"/>
        <w:rPr>
          <w:rFonts w:ascii="Garamond" w:hAnsi="Garamond"/>
        </w:rPr>
      </w:pPr>
    </w:p>
    <w:p w14:paraId="204A7781" w14:textId="77777777" w:rsidR="00DD0DFE" w:rsidRPr="00B97EA3" w:rsidRDefault="00103197" w:rsidP="00B97EA3">
      <w:pPr>
        <w:pStyle w:val="Pardeliste"/>
        <w:numPr>
          <w:ilvl w:val="0"/>
          <w:numId w:val="2"/>
        </w:numPr>
        <w:jc w:val="both"/>
        <w:rPr>
          <w:rFonts w:ascii="Garamond" w:hAnsi="Garamond"/>
          <w:b/>
        </w:rPr>
      </w:pPr>
      <w:r w:rsidRPr="00B97EA3">
        <w:rPr>
          <w:rFonts w:ascii="Garamond" w:hAnsi="Garamond"/>
          <w:b/>
        </w:rPr>
        <w:t xml:space="preserve">Les contours du pacte de préférence </w:t>
      </w:r>
    </w:p>
    <w:p w14:paraId="63D7661B" w14:textId="77777777" w:rsidR="00E956A5" w:rsidRDefault="00E956A5" w:rsidP="00B97EA3">
      <w:pPr>
        <w:jc w:val="both"/>
        <w:rPr>
          <w:rFonts w:ascii="Garamond" w:hAnsi="Garamond"/>
        </w:rPr>
      </w:pPr>
    </w:p>
    <w:p w14:paraId="3FD7F2E1" w14:textId="60542F24" w:rsidR="000F493A" w:rsidRDefault="000F493A" w:rsidP="000F493A">
      <w:pPr>
        <w:pStyle w:val="Pardeliste"/>
        <w:numPr>
          <w:ilvl w:val="0"/>
          <w:numId w:val="7"/>
        </w:numPr>
        <w:jc w:val="both"/>
        <w:rPr>
          <w:rFonts w:ascii="Garamond" w:hAnsi="Garamond"/>
        </w:rPr>
      </w:pPr>
      <w:r>
        <w:rPr>
          <w:rFonts w:ascii="Garamond" w:hAnsi="Garamond"/>
        </w:rPr>
        <w:t>La définition du pacte de préférence</w:t>
      </w:r>
    </w:p>
    <w:p w14:paraId="7CE10A47" w14:textId="77777777" w:rsidR="000F493A" w:rsidRPr="000F493A" w:rsidRDefault="000F493A" w:rsidP="000F493A">
      <w:pPr>
        <w:jc w:val="both"/>
        <w:rPr>
          <w:rFonts w:ascii="Garamond" w:hAnsi="Garamond"/>
        </w:rPr>
      </w:pPr>
    </w:p>
    <w:p w14:paraId="5E01CABC" w14:textId="02CB4A36" w:rsidR="007619E3" w:rsidRDefault="007619E3" w:rsidP="00B97EA3">
      <w:pPr>
        <w:pStyle w:val="Pardeliste"/>
        <w:numPr>
          <w:ilvl w:val="0"/>
          <w:numId w:val="1"/>
        </w:numPr>
        <w:jc w:val="both"/>
        <w:rPr>
          <w:rFonts w:ascii="Garamond" w:hAnsi="Garamond"/>
        </w:rPr>
      </w:pPr>
      <w:r>
        <w:rPr>
          <w:rFonts w:ascii="Garamond" w:hAnsi="Garamond"/>
        </w:rPr>
        <w:t xml:space="preserve">Définition </w:t>
      </w:r>
    </w:p>
    <w:p w14:paraId="3180E81D" w14:textId="77777777" w:rsidR="00B97EA3" w:rsidRDefault="00B97EA3" w:rsidP="00B97EA3">
      <w:pPr>
        <w:pStyle w:val="Pardeliste"/>
        <w:numPr>
          <w:ilvl w:val="0"/>
          <w:numId w:val="1"/>
        </w:numPr>
        <w:jc w:val="both"/>
        <w:rPr>
          <w:rFonts w:ascii="Garamond" w:hAnsi="Garamond"/>
        </w:rPr>
      </w:pPr>
      <w:r>
        <w:rPr>
          <w:rFonts w:ascii="Garamond" w:hAnsi="Garamond"/>
        </w:rPr>
        <w:t xml:space="preserve">L’engagement du promettant </w:t>
      </w:r>
    </w:p>
    <w:p w14:paraId="3955708F" w14:textId="77777777" w:rsidR="00B97EA3" w:rsidRDefault="00B97EA3" w:rsidP="00B97EA3">
      <w:pPr>
        <w:pStyle w:val="Pardeliste"/>
        <w:numPr>
          <w:ilvl w:val="0"/>
          <w:numId w:val="1"/>
        </w:numPr>
        <w:jc w:val="both"/>
        <w:rPr>
          <w:rFonts w:ascii="Garamond" w:hAnsi="Garamond"/>
        </w:rPr>
      </w:pPr>
      <w:r>
        <w:rPr>
          <w:rFonts w:ascii="Garamond" w:hAnsi="Garamond"/>
        </w:rPr>
        <w:t>L’hypothèse classique de la vente aux tiers</w:t>
      </w:r>
    </w:p>
    <w:p w14:paraId="0EEE1D4D" w14:textId="77777777" w:rsidR="000F493A" w:rsidRDefault="000F493A" w:rsidP="000F493A">
      <w:pPr>
        <w:jc w:val="both"/>
        <w:rPr>
          <w:rFonts w:ascii="Garamond" w:hAnsi="Garamond"/>
        </w:rPr>
      </w:pPr>
    </w:p>
    <w:p w14:paraId="1139B258" w14:textId="4074A382" w:rsidR="000F493A" w:rsidRDefault="000F493A" w:rsidP="000F493A">
      <w:pPr>
        <w:pStyle w:val="Pardeliste"/>
        <w:numPr>
          <w:ilvl w:val="0"/>
          <w:numId w:val="7"/>
        </w:numPr>
        <w:jc w:val="both"/>
        <w:rPr>
          <w:rFonts w:ascii="Garamond" w:hAnsi="Garamond"/>
        </w:rPr>
      </w:pPr>
      <w:r>
        <w:rPr>
          <w:rFonts w:ascii="Garamond" w:hAnsi="Garamond"/>
        </w:rPr>
        <w:t>Les réponses classiques face la violation d’un pacte de préférence</w:t>
      </w:r>
    </w:p>
    <w:p w14:paraId="4856AE97" w14:textId="77777777" w:rsidR="000F493A" w:rsidRPr="000F493A" w:rsidRDefault="000F493A" w:rsidP="000F493A">
      <w:pPr>
        <w:jc w:val="both"/>
        <w:rPr>
          <w:rFonts w:ascii="Garamond" w:hAnsi="Garamond"/>
        </w:rPr>
      </w:pPr>
    </w:p>
    <w:p w14:paraId="1DCBF77E" w14:textId="77777777" w:rsidR="00B97EA3" w:rsidRDefault="00B97EA3" w:rsidP="00B97EA3">
      <w:pPr>
        <w:pStyle w:val="Pardeliste"/>
        <w:numPr>
          <w:ilvl w:val="0"/>
          <w:numId w:val="1"/>
        </w:numPr>
        <w:jc w:val="both"/>
        <w:rPr>
          <w:rFonts w:ascii="Garamond" w:hAnsi="Garamond"/>
        </w:rPr>
      </w:pPr>
      <w:r>
        <w:rPr>
          <w:rFonts w:ascii="Garamond" w:hAnsi="Garamond"/>
        </w:rPr>
        <w:t xml:space="preserve">Les réponses traditionnelles : double condition pour annuler le contrat de vente + se substituer au tiers </w:t>
      </w:r>
    </w:p>
    <w:p w14:paraId="34E25293" w14:textId="77777777" w:rsidR="00B97EA3" w:rsidRPr="007619E3" w:rsidRDefault="00B97EA3" w:rsidP="00B97EA3">
      <w:pPr>
        <w:pStyle w:val="Pardeliste"/>
        <w:numPr>
          <w:ilvl w:val="0"/>
          <w:numId w:val="1"/>
        </w:numPr>
        <w:jc w:val="both"/>
        <w:rPr>
          <w:rFonts w:ascii="Garamond" w:hAnsi="Garamond"/>
        </w:rPr>
      </w:pPr>
      <w:r>
        <w:rPr>
          <w:rFonts w:ascii="Garamond" w:hAnsi="Garamond"/>
        </w:rPr>
        <w:t>La solution on le verra, étend la réponse en matière de PUV, renforçant encore davantage la valeur de l’engagement du promettant</w:t>
      </w:r>
    </w:p>
    <w:p w14:paraId="654F6274" w14:textId="77777777" w:rsidR="00B97EA3" w:rsidRPr="007619E3" w:rsidRDefault="00B97EA3" w:rsidP="00B97EA3">
      <w:pPr>
        <w:pStyle w:val="Pardeliste"/>
        <w:numPr>
          <w:ilvl w:val="0"/>
          <w:numId w:val="1"/>
        </w:numPr>
        <w:jc w:val="both"/>
        <w:rPr>
          <w:rFonts w:ascii="Garamond" w:hAnsi="Garamond"/>
        </w:rPr>
      </w:pPr>
    </w:p>
    <w:p w14:paraId="77189472" w14:textId="77777777" w:rsidR="00E956A5" w:rsidRPr="00E956A5" w:rsidRDefault="00E956A5" w:rsidP="00B97EA3">
      <w:pPr>
        <w:jc w:val="both"/>
        <w:rPr>
          <w:rFonts w:ascii="Garamond" w:hAnsi="Garamond"/>
        </w:rPr>
      </w:pPr>
    </w:p>
    <w:p w14:paraId="0503E263" w14:textId="77777777" w:rsidR="00DD0DFE" w:rsidRPr="00B97EA3" w:rsidRDefault="00103197" w:rsidP="00B97EA3">
      <w:pPr>
        <w:pStyle w:val="Pardeliste"/>
        <w:numPr>
          <w:ilvl w:val="0"/>
          <w:numId w:val="2"/>
        </w:numPr>
        <w:jc w:val="both"/>
        <w:rPr>
          <w:rFonts w:ascii="Garamond" w:hAnsi="Garamond"/>
          <w:b/>
        </w:rPr>
      </w:pPr>
      <w:r w:rsidRPr="00B97EA3">
        <w:rPr>
          <w:rFonts w:ascii="Garamond" w:hAnsi="Garamond"/>
          <w:b/>
        </w:rPr>
        <w:t>Les conséquences de la conclusion d’un pacte de préférence</w:t>
      </w:r>
    </w:p>
    <w:p w14:paraId="0110A4F1" w14:textId="77777777" w:rsidR="00DD0DFE" w:rsidRDefault="00DD0DFE" w:rsidP="00B97EA3">
      <w:pPr>
        <w:jc w:val="both"/>
        <w:rPr>
          <w:rFonts w:ascii="Garamond" w:hAnsi="Garamond"/>
        </w:rPr>
      </w:pPr>
    </w:p>
    <w:p w14:paraId="5489216E" w14:textId="45568E97" w:rsidR="000F493A" w:rsidRDefault="000F493A" w:rsidP="000F493A">
      <w:pPr>
        <w:pStyle w:val="Pardeliste"/>
        <w:numPr>
          <w:ilvl w:val="0"/>
          <w:numId w:val="8"/>
        </w:numPr>
        <w:jc w:val="both"/>
        <w:rPr>
          <w:rFonts w:ascii="Garamond" w:hAnsi="Garamond"/>
        </w:rPr>
      </w:pPr>
      <w:r>
        <w:rPr>
          <w:rFonts w:ascii="Garamond" w:hAnsi="Garamond"/>
        </w:rPr>
        <w:t xml:space="preserve">La sanction de l’empêchement du pacte par un obstacle direct  </w:t>
      </w:r>
    </w:p>
    <w:p w14:paraId="24A91126" w14:textId="77777777" w:rsidR="000F493A" w:rsidRPr="000F493A" w:rsidRDefault="000F493A" w:rsidP="000F493A">
      <w:pPr>
        <w:jc w:val="both"/>
        <w:rPr>
          <w:rFonts w:ascii="Garamond" w:hAnsi="Garamond"/>
        </w:rPr>
      </w:pPr>
    </w:p>
    <w:p w14:paraId="3E2A8D2D" w14:textId="2BD46828" w:rsidR="00B97EA3" w:rsidRDefault="00B97EA3" w:rsidP="000F493A">
      <w:pPr>
        <w:pStyle w:val="Pardeliste"/>
        <w:jc w:val="both"/>
        <w:rPr>
          <w:rFonts w:ascii="Garamond" w:hAnsi="Garamond"/>
        </w:rPr>
      </w:pPr>
      <w:r>
        <w:rPr>
          <w:rFonts w:ascii="Garamond" w:hAnsi="Garamond"/>
        </w:rPr>
        <w:t xml:space="preserve">Problématique car 2 droits subjectifs ont été créé sur un même bien (2 bénéficiaires) en même temps pendant un certain timing : date de la </w:t>
      </w:r>
      <w:proofErr w:type="gramStart"/>
      <w:r>
        <w:rPr>
          <w:rFonts w:ascii="Garamond" w:hAnsi="Garamond"/>
        </w:rPr>
        <w:t>PUV  jusqu’à</w:t>
      </w:r>
      <w:proofErr w:type="gramEnd"/>
      <w:r>
        <w:rPr>
          <w:rFonts w:ascii="Garamond" w:hAnsi="Garamond"/>
        </w:rPr>
        <w:t xml:space="preserve"> date d’expiration du PDP</w:t>
      </w:r>
    </w:p>
    <w:p w14:paraId="0176C37B" w14:textId="77777777" w:rsidR="00B97EA3" w:rsidRDefault="00B97EA3" w:rsidP="00B97EA3">
      <w:pPr>
        <w:pStyle w:val="Pardeliste"/>
        <w:numPr>
          <w:ilvl w:val="0"/>
          <w:numId w:val="1"/>
        </w:numPr>
        <w:jc w:val="both"/>
        <w:rPr>
          <w:rFonts w:ascii="Garamond" w:hAnsi="Garamond"/>
        </w:rPr>
      </w:pPr>
      <w:r>
        <w:rPr>
          <w:rFonts w:ascii="Garamond" w:hAnsi="Garamond"/>
        </w:rPr>
        <w:t xml:space="preserve">PUV indissociable de la vente : en somme JP a souvent admis que si l’objet du PDP n’était pas précisément l’objet du contrat définitif : pas de violation du PDP. C’est ce qu’estimait </w:t>
      </w:r>
      <w:r>
        <w:rPr>
          <w:rFonts w:ascii="Garamond" w:hAnsi="Garamond"/>
        </w:rPr>
        <w:lastRenderedPageBreak/>
        <w:t xml:space="preserve">la CA en expliquant que l’objet du PDP était la vente et qu’ici le contrat « définitif » était en fait le contrat préparatoire de la PUV : censure logique des JDF </w:t>
      </w:r>
      <w:proofErr w:type="spellStart"/>
      <w:r>
        <w:rPr>
          <w:rFonts w:ascii="Garamond" w:hAnsi="Garamond"/>
        </w:rPr>
        <w:t>pusique</w:t>
      </w:r>
      <w:proofErr w:type="spellEnd"/>
      <w:r>
        <w:rPr>
          <w:rFonts w:ascii="Garamond" w:hAnsi="Garamond"/>
        </w:rPr>
        <w:t xml:space="preserve"> en l’espèce, la PUV constitue finalement un début d’existence de la vente (donc la vente commençait à exister, en partie avant l’extinction du délai de préférence) – Argument logique puisque par principe dans une PU, du côté du promettant il y a déjà une forme d’engagement. </w:t>
      </w:r>
      <w:proofErr w:type="gramStart"/>
      <w:r>
        <w:rPr>
          <w:rFonts w:ascii="Garamond" w:hAnsi="Garamond"/>
        </w:rPr>
        <w:t>( en</w:t>
      </w:r>
      <w:proofErr w:type="gramEnd"/>
      <w:r>
        <w:rPr>
          <w:rFonts w:ascii="Garamond" w:hAnsi="Garamond"/>
        </w:rPr>
        <w:t xml:space="preserve"> accord avec définition du nouvel article 1124 :« ne manque que son consentement ». La vente est quasi formée. </w:t>
      </w:r>
    </w:p>
    <w:p w14:paraId="4435E7C7" w14:textId="77777777" w:rsidR="00B97EA3" w:rsidRDefault="00B97EA3" w:rsidP="00B97EA3">
      <w:pPr>
        <w:jc w:val="both"/>
        <w:rPr>
          <w:rFonts w:ascii="Garamond" w:hAnsi="Garamond"/>
        </w:rPr>
      </w:pPr>
    </w:p>
    <w:p w14:paraId="45C570B9" w14:textId="77777777" w:rsidR="000F493A" w:rsidRDefault="000F493A" w:rsidP="00B97EA3">
      <w:pPr>
        <w:jc w:val="both"/>
        <w:rPr>
          <w:rFonts w:ascii="Garamond" w:hAnsi="Garamond"/>
        </w:rPr>
      </w:pPr>
    </w:p>
    <w:p w14:paraId="4282472B" w14:textId="5506B83A" w:rsidR="000F493A" w:rsidRDefault="000F493A" w:rsidP="000F493A">
      <w:pPr>
        <w:pStyle w:val="Pardeliste"/>
        <w:numPr>
          <w:ilvl w:val="0"/>
          <w:numId w:val="8"/>
        </w:numPr>
        <w:jc w:val="both"/>
        <w:rPr>
          <w:rFonts w:ascii="Garamond" w:hAnsi="Garamond"/>
        </w:rPr>
      </w:pPr>
      <w:r>
        <w:rPr>
          <w:rFonts w:ascii="Garamond" w:hAnsi="Garamond"/>
        </w:rPr>
        <w:t xml:space="preserve">La sanction de l’empêchement du pacte par un obstacle indirect </w:t>
      </w:r>
    </w:p>
    <w:p w14:paraId="3203C0C3" w14:textId="77777777" w:rsidR="000F493A" w:rsidRPr="000F493A" w:rsidRDefault="000F493A" w:rsidP="000F493A">
      <w:pPr>
        <w:jc w:val="both"/>
        <w:rPr>
          <w:rFonts w:ascii="Garamond" w:hAnsi="Garamond"/>
        </w:rPr>
      </w:pPr>
    </w:p>
    <w:p w14:paraId="63098992" w14:textId="77777777" w:rsidR="00B97EA3" w:rsidRDefault="00B97EA3" w:rsidP="00B97EA3">
      <w:pPr>
        <w:pStyle w:val="Pardeliste"/>
        <w:numPr>
          <w:ilvl w:val="0"/>
          <w:numId w:val="1"/>
        </w:numPr>
        <w:jc w:val="both"/>
        <w:rPr>
          <w:rFonts w:ascii="Garamond" w:hAnsi="Garamond"/>
        </w:rPr>
      </w:pPr>
      <w:r>
        <w:rPr>
          <w:rFonts w:ascii="Garamond" w:hAnsi="Garamond"/>
        </w:rPr>
        <w:t xml:space="preserve">Domaine voisin : la conclusion du contrat de bail sur un bien grevé d’un PDP </w:t>
      </w:r>
      <w:r w:rsidRPr="00B075B1">
        <w:rPr>
          <w:rFonts w:ascii="Garamond" w:hAnsi="Garamond"/>
        </w:rPr>
        <w:sym w:font="Wingdings" w:char="F0E8"/>
      </w:r>
      <w:r>
        <w:rPr>
          <w:rFonts w:ascii="Garamond" w:hAnsi="Garamond"/>
        </w:rPr>
        <w:t xml:space="preserve"> nouveau droit de préemption légal cette fois ci qui par principe prime sur le conventionnel (</w:t>
      </w:r>
      <w:proofErr w:type="spellStart"/>
      <w:r>
        <w:rPr>
          <w:rFonts w:ascii="Garamond" w:hAnsi="Garamond"/>
        </w:rPr>
        <w:t>ciV</w:t>
      </w:r>
      <w:proofErr w:type="spellEnd"/>
      <w:r>
        <w:rPr>
          <w:rFonts w:ascii="Garamond" w:hAnsi="Garamond"/>
        </w:rPr>
        <w:t xml:space="preserve"> 3 10 MAI 1984) </w:t>
      </w:r>
    </w:p>
    <w:p w14:paraId="15B43A3A" w14:textId="77777777" w:rsidR="00B97EA3" w:rsidRDefault="00B97EA3" w:rsidP="00B97EA3">
      <w:pPr>
        <w:jc w:val="both"/>
        <w:rPr>
          <w:rFonts w:ascii="Garamond" w:hAnsi="Garamond"/>
        </w:rPr>
      </w:pPr>
    </w:p>
    <w:p w14:paraId="04ABE726" w14:textId="77777777" w:rsidR="007619E3" w:rsidRDefault="007619E3" w:rsidP="00B97EA3">
      <w:pPr>
        <w:jc w:val="both"/>
        <w:rPr>
          <w:rFonts w:ascii="Garamond" w:hAnsi="Garamond"/>
        </w:rPr>
      </w:pPr>
    </w:p>
    <w:p w14:paraId="385E9369" w14:textId="77777777" w:rsidR="00DD0DFE" w:rsidRPr="00B97EA3" w:rsidRDefault="00DD0DFE" w:rsidP="00B97EA3">
      <w:pPr>
        <w:jc w:val="both"/>
        <w:rPr>
          <w:rFonts w:ascii="Garamond" w:hAnsi="Garamond"/>
          <w:b/>
        </w:rPr>
      </w:pPr>
      <w:r w:rsidRPr="00B97EA3">
        <w:rPr>
          <w:rFonts w:ascii="Garamond" w:hAnsi="Garamond"/>
          <w:b/>
        </w:rPr>
        <w:t xml:space="preserve">II- </w:t>
      </w:r>
      <w:r w:rsidR="00103197" w:rsidRPr="00B97EA3">
        <w:rPr>
          <w:rFonts w:ascii="Garamond" w:hAnsi="Garamond"/>
          <w:b/>
        </w:rPr>
        <w:t>Le renforcement apparent de la valeur du pacte de préférence</w:t>
      </w:r>
    </w:p>
    <w:p w14:paraId="1F4A047B" w14:textId="77777777" w:rsidR="00DD0DFE" w:rsidRDefault="00DD0DFE" w:rsidP="00B97EA3">
      <w:pPr>
        <w:jc w:val="both"/>
        <w:rPr>
          <w:rFonts w:ascii="Garamond" w:hAnsi="Garamond"/>
        </w:rPr>
      </w:pPr>
    </w:p>
    <w:p w14:paraId="759A9448" w14:textId="0BE6E756" w:rsidR="00DD0DFE" w:rsidRPr="00B97EA3" w:rsidRDefault="00B97EA3" w:rsidP="00B97EA3">
      <w:pPr>
        <w:pStyle w:val="Pardeliste"/>
        <w:numPr>
          <w:ilvl w:val="0"/>
          <w:numId w:val="3"/>
        </w:numPr>
        <w:jc w:val="both"/>
        <w:rPr>
          <w:rFonts w:ascii="Garamond" w:hAnsi="Garamond"/>
          <w:b/>
        </w:rPr>
      </w:pPr>
      <w:r>
        <w:rPr>
          <w:rFonts w:ascii="Garamond" w:hAnsi="Garamond"/>
          <w:b/>
        </w:rPr>
        <w:t>L’articulation d’une promesse unilatérale ultérieure au pacte de préférence</w:t>
      </w:r>
    </w:p>
    <w:p w14:paraId="50C88BA9" w14:textId="77777777" w:rsidR="007619E3" w:rsidRDefault="007619E3" w:rsidP="00B97EA3">
      <w:pPr>
        <w:jc w:val="both"/>
        <w:rPr>
          <w:rFonts w:ascii="Garamond" w:hAnsi="Garamond"/>
        </w:rPr>
      </w:pPr>
    </w:p>
    <w:p w14:paraId="48DDAA30" w14:textId="3FCB3B5D" w:rsidR="000F493A" w:rsidRDefault="000F493A" w:rsidP="000F493A">
      <w:pPr>
        <w:pStyle w:val="Pardeliste"/>
        <w:numPr>
          <w:ilvl w:val="0"/>
          <w:numId w:val="5"/>
        </w:numPr>
        <w:jc w:val="both"/>
        <w:rPr>
          <w:rFonts w:ascii="Garamond" w:hAnsi="Garamond"/>
        </w:rPr>
      </w:pPr>
      <w:r>
        <w:rPr>
          <w:rFonts w:ascii="Garamond" w:hAnsi="Garamond"/>
        </w:rPr>
        <w:t xml:space="preserve">La conclusion de la promesse sous condition suspensive </w:t>
      </w:r>
    </w:p>
    <w:p w14:paraId="5F830106" w14:textId="77777777" w:rsidR="000F493A" w:rsidRPr="000F493A" w:rsidRDefault="000F493A" w:rsidP="000F493A">
      <w:pPr>
        <w:jc w:val="both"/>
        <w:rPr>
          <w:rFonts w:ascii="Garamond" w:hAnsi="Garamond"/>
        </w:rPr>
      </w:pPr>
    </w:p>
    <w:p w14:paraId="24DC4907" w14:textId="07D31BC9" w:rsidR="00B075B1" w:rsidRPr="00B97EA3" w:rsidRDefault="00B97EA3" w:rsidP="00B97EA3">
      <w:pPr>
        <w:pStyle w:val="Pardeliste"/>
        <w:numPr>
          <w:ilvl w:val="0"/>
          <w:numId w:val="1"/>
        </w:numPr>
        <w:jc w:val="both"/>
        <w:rPr>
          <w:rFonts w:ascii="Garamond" w:hAnsi="Garamond"/>
        </w:rPr>
      </w:pPr>
      <w:r>
        <w:rPr>
          <w:rFonts w:ascii="Garamond" w:hAnsi="Garamond"/>
        </w:rPr>
        <w:t>L’arrê</w:t>
      </w:r>
      <w:r w:rsidR="000F493A">
        <w:rPr>
          <w:rFonts w:ascii="Garamond" w:hAnsi="Garamond"/>
        </w:rPr>
        <w:t>t renforc</w:t>
      </w:r>
      <w:r>
        <w:rPr>
          <w:rFonts w:ascii="Garamond" w:hAnsi="Garamond"/>
        </w:rPr>
        <w:t xml:space="preserve">e considérablement la valeur du PDP en ce sens qu’il donne raison à son bénéficiaire face à celui de la promesse. MAIS, la Cour ne dévalorise pas pour autant la promesse ainsi que son bénéficiaire. De manière sous-jacente, on comprend que le promettant, en théorie, pourrait conclure une promesse malgré le PDP. </w:t>
      </w:r>
    </w:p>
    <w:p w14:paraId="0B47EA86" w14:textId="5CBED3E2" w:rsidR="007619E3" w:rsidRDefault="007619E3" w:rsidP="00B97EA3">
      <w:pPr>
        <w:pStyle w:val="Pardeliste"/>
        <w:numPr>
          <w:ilvl w:val="0"/>
          <w:numId w:val="1"/>
        </w:numPr>
        <w:jc w:val="both"/>
        <w:rPr>
          <w:rFonts w:ascii="Garamond" w:hAnsi="Garamond"/>
        </w:rPr>
      </w:pPr>
      <w:r>
        <w:rPr>
          <w:rFonts w:ascii="Garamond" w:hAnsi="Garamond"/>
        </w:rPr>
        <w:t xml:space="preserve">Le problème aurait été évité si conventionnellement, le promettant avait purgé le PDP via une condition suspensive </w:t>
      </w:r>
    </w:p>
    <w:p w14:paraId="2CB57974" w14:textId="4E593800" w:rsidR="000F493A" w:rsidRDefault="000F493A" w:rsidP="00B97EA3">
      <w:pPr>
        <w:pStyle w:val="Pardeliste"/>
        <w:numPr>
          <w:ilvl w:val="0"/>
          <w:numId w:val="1"/>
        </w:numPr>
        <w:jc w:val="both"/>
        <w:rPr>
          <w:rFonts w:ascii="Garamond" w:hAnsi="Garamond"/>
        </w:rPr>
      </w:pPr>
      <w:r>
        <w:rPr>
          <w:rFonts w:ascii="Garamond" w:hAnsi="Garamond"/>
        </w:rPr>
        <w:t>J</w:t>
      </w:r>
      <w:r>
        <w:rPr>
          <w:rFonts w:ascii="Garamond" w:hAnsi="Garamond"/>
        </w:rPr>
        <w:t>P : civ 3 22 novembre 2018 : contestation de la validité d’une PSV consentie sous la condition suspensive de la purge du droit de préemption de la commune. Sauf que PSV vaut vente, donc pas de purge antérieure à la formation de la vente. Caducité de la promesse si purge inefficace.</w:t>
      </w:r>
    </w:p>
    <w:p w14:paraId="3C428CB2" w14:textId="77777777" w:rsidR="000F493A" w:rsidRDefault="000F493A" w:rsidP="000F493A">
      <w:pPr>
        <w:jc w:val="both"/>
        <w:rPr>
          <w:rFonts w:ascii="Garamond" w:hAnsi="Garamond"/>
        </w:rPr>
      </w:pPr>
    </w:p>
    <w:p w14:paraId="68B2C17B" w14:textId="77777777" w:rsidR="000F493A" w:rsidRDefault="000F493A" w:rsidP="000F493A">
      <w:pPr>
        <w:jc w:val="both"/>
        <w:rPr>
          <w:rFonts w:ascii="Garamond" w:hAnsi="Garamond"/>
        </w:rPr>
      </w:pPr>
    </w:p>
    <w:p w14:paraId="5983A889" w14:textId="7787E8D0" w:rsidR="000F493A" w:rsidRPr="000F493A" w:rsidRDefault="000F493A" w:rsidP="000F493A">
      <w:pPr>
        <w:pStyle w:val="Pardeliste"/>
        <w:numPr>
          <w:ilvl w:val="0"/>
          <w:numId w:val="5"/>
        </w:numPr>
        <w:jc w:val="both"/>
        <w:rPr>
          <w:rFonts w:ascii="Garamond" w:hAnsi="Garamond"/>
        </w:rPr>
      </w:pPr>
      <w:r>
        <w:rPr>
          <w:rFonts w:ascii="Garamond" w:hAnsi="Garamond"/>
        </w:rPr>
        <w:t xml:space="preserve">La notification de la promesse au bénéficiaire du PACS </w:t>
      </w:r>
    </w:p>
    <w:p w14:paraId="463797CD" w14:textId="77777777" w:rsidR="00103197" w:rsidRDefault="00103197" w:rsidP="00B97EA3">
      <w:pPr>
        <w:jc w:val="both"/>
        <w:rPr>
          <w:rFonts w:ascii="Garamond" w:hAnsi="Garamond"/>
        </w:rPr>
      </w:pPr>
    </w:p>
    <w:p w14:paraId="5DC760DF" w14:textId="1C8CCCF8" w:rsidR="00103197" w:rsidRDefault="007C1B6F" w:rsidP="007C1B6F">
      <w:pPr>
        <w:pStyle w:val="Pardeliste"/>
        <w:numPr>
          <w:ilvl w:val="0"/>
          <w:numId w:val="1"/>
        </w:numPr>
        <w:jc w:val="both"/>
        <w:rPr>
          <w:rFonts w:ascii="Garamond" w:hAnsi="Garamond"/>
        </w:rPr>
      </w:pPr>
      <w:r>
        <w:rPr>
          <w:rFonts w:ascii="Garamond" w:hAnsi="Garamond"/>
        </w:rPr>
        <w:t xml:space="preserve">Conclusion de la promesse = manifestation de la volonté de vendre donc déclenchement du pacte ! </w:t>
      </w:r>
      <w:r w:rsidR="005B7089">
        <w:rPr>
          <w:rFonts w:ascii="Garamond" w:hAnsi="Garamond"/>
        </w:rPr>
        <w:t xml:space="preserve">+ en </w:t>
      </w:r>
      <w:proofErr w:type="gramStart"/>
      <w:r w:rsidR="005B7089">
        <w:rPr>
          <w:rFonts w:ascii="Garamond" w:hAnsi="Garamond"/>
        </w:rPr>
        <w:t>l’espèce ,</w:t>
      </w:r>
      <w:proofErr w:type="gramEnd"/>
      <w:r w:rsidR="005B7089">
        <w:rPr>
          <w:rFonts w:ascii="Garamond" w:hAnsi="Garamond"/>
        </w:rPr>
        <w:t xml:space="preserve"> levée d’option reportée après l’extinction du délai du pacte donc </w:t>
      </w:r>
      <w:r w:rsidR="005B7089">
        <w:rPr>
          <w:rFonts w:ascii="Garamond" w:hAnsi="Garamond"/>
          <w:i/>
        </w:rPr>
        <w:t>a priori</w:t>
      </w:r>
      <w:r w:rsidR="005B7089">
        <w:rPr>
          <w:rFonts w:ascii="Garamond" w:hAnsi="Garamond"/>
        </w:rPr>
        <w:t xml:space="preserve">, et en adéquation à ce qui vient d’être dit : pas de problème. </w:t>
      </w:r>
    </w:p>
    <w:p w14:paraId="609FFC1E" w14:textId="43D1D2F3" w:rsidR="005B7089" w:rsidRDefault="005B7089" w:rsidP="007C1B6F">
      <w:pPr>
        <w:pStyle w:val="Pardeliste"/>
        <w:numPr>
          <w:ilvl w:val="0"/>
          <w:numId w:val="1"/>
        </w:numPr>
        <w:jc w:val="both"/>
        <w:rPr>
          <w:rFonts w:ascii="Garamond" w:hAnsi="Garamond"/>
        </w:rPr>
      </w:pPr>
      <w:r>
        <w:rPr>
          <w:rFonts w:ascii="Garamond" w:hAnsi="Garamond"/>
        </w:rPr>
        <w:t xml:space="preserve">Sauf qu’à part ça, promettant pas très diligent (notaire idem </w:t>
      </w:r>
      <w:proofErr w:type="spellStart"/>
      <w:r>
        <w:rPr>
          <w:rFonts w:ascii="Garamond" w:hAnsi="Garamond"/>
        </w:rPr>
        <w:t>cf</w:t>
      </w:r>
      <w:proofErr w:type="spellEnd"/>
      <w:r>
        <w:rPr>
          <w:rFonts w:ascii="Garamond" w:hAnsi="Garamond"/>
        </w:rPr>
        <w:t xml:space="preserve"> JP) – est ce qu’il pensait que la bénéficiaire n’userait pas de son droit de préemption (en l’espèce compromis signé en 2008, et pas d’opposition de la bénef) </w:t>
      </w:r>
    </w:p>
    <w:p w14:paraId="7077ED27" w14:textId="0D16F229" w:rsidR="005B7089" w:rsidRDefault="005B7089" w:rsidP="007C1B6F">
      <w:pPr>
        <w:pStyle w:val="Pardeliste"/>
        <w:numPr>
          <w:ilvl w:val="0"/>
          <w:numId w:val="1"/>
        </w:numPr>
        <w:jc w:val="both"/>
        <w:rPr>
          <w:rFonts w:ascii="Garamond" w:hAnsi="Garamond"/>
        </w:rPr>
      </w:pPr>
      <w:r>
        <w:rPr>
          <w:rFonts w:ascii="Garamond" w:hAnsi="Garamond"/>
        </w:rPr>
        <w:t>On peut donc supposer l’absence de MF de la part du promettant mais cela ne change rien « </w:t>
      </w:r>
      <w:r>
        <w:rPr>
          <w:rFonts w:ascii="Garamond" w:hAnsi="Garamond"/>
          <w:i/>
        </w:rPr>
        <w:t>le promettant d’un pacte ne peut jamais se dispenser d’inviter le bénéficiaire à exercer son droit de préférence</w:t>
      </w:r>
      <w:r>
        <w:rPr>
          <w:rFonts w:ascii="Garamond" w:hAnsi="Garamond"/>
        </w:rPr>
        <w:t xml:space="preserve"> ». </w:t>
      </w:r>
      <w:proofErr w:type="gramStart"/>
      <w:r>
        <w:rPr>
          <w:rFonts w:ascii="Garamond" w:hAnsi="Garamond"/>
        </w:rPr>
        <w:t xml:space="preserve">( </w:t>
      </w:r>
      <w:proofErr w:type="spellStart"/>
      <w:r>
        <w:rPr>
          <w:rFonts w:ascii="Garamond" w:hAnsi="Garamond"/>
        </w:rPr>
        <w:t>cf</w:t>
      </w:r>
      <w:proofErr w:type="spellEnd"/>
      <w:proofErr w:type="gramEnd"/>
      <w:r>
        <w:rPr>
          <w:rFonts w:ascii="Garamond" w:hAnsi="Garamond"/>
        </w:rPr>
        <w:t xml:space="preserve"> JP ) – « nouvelle tentative = nouvelle notification »</w:t>
      </w:r>
    </w:p>
    <w:p w14:paraId="4454D567" w14:textId="6F9A0D30" w:rsidR="005B7089" w:rsidRPr="007C1B6F" w:rsidRDefault="005B7089" w:rsidP="007C1B6F">
      <w:pPr>
        <w:pStyle w:val="Pardeliste"/>
        <w:numPr>
          <w:ilvl w:val="0"/>
          <w:numId w:val="1"/>
        </w:numPr>
        <w:jc w:val="both"/>
        <w:rPr>
          <w:rFonts w:ascii="Garamond" w:hAnsi="Garamond"/>
        </w:rPr>
      </w:pPr>
      <w:r>
        <w:rPr>
          <w:rFonts w:ascii="Garamond" w:hAnsi="Garamond"/>
        </w:rPr>
        <w:t xml:space="preserve">Sévérité ? ou simple respect du régime par le juge ? </w:t>
      </w:r>
    </w:p>
    <w:p w14:paraId="44DC3D34" w14:textId="77777777" w:rsidR="00103197" w:rsidRPr="00103197" w:rsidRDefault="00103197" w:rsidP="00B97EA3">
      <w:pPr>
        <w:jc w:val="both"/>
        <w:rPr>
          <w:rFonts w:ascii="Garamond" w:hAnsi="Garamond"/>
        </w:rPr>
      </w:pPr>
    </w:p>
    <w:p w14:paraId="5024C6D6" w14:textId="77777777" w:rsidR="00DD0DFE" w:rsidRPr="00B97EA3" w:rsidRDefault="00103197" w:rsidP="00B97EA3">
      <w:pPr>
        <w:pStyle w:val="Pardeliste"/>
        <w:numPr>
          <w:ilvl w:val="0"/>
          <w:numId w:val="3"/>
        </w:numPr>
        <w:jc w:val="both"/>
        <w:rPr>
          <w:rFonts w:ascii="Garamond" w:hAnsi="Garamond"/>
          <w:b/>
        </w:rPr>
      </w:pPr>
      <w:r w:rsidRPr="00B97EA3">
        <w:rPr>
          <w:rFonts w:ascii="Garamond" w:hAnsi="Garamond"/>
          <w:b/>
        </w:rPr>
        <w:t xml:space="preserve">Une précision du régime bienvenue </w:t>
      </w:r>
    </w:p>
    <w:p w14:paraId="2DECDC81" w14:textId="77777777" w:rsidR="00DD0DFE" w:rsidRDefault="00DD0DFE" w:rsidP="00B97EA3">
      <w:pPr>
        <w:jc w:val="both"/>
        <w:rPr>
          <w:rFonts w:ascii="Garamond" w:hAnsi="Garamond"/>
        </w:rPr>
      </w:pPr>
    </w:p>
    <w:p w14:paraId="62D4E442" w14:textId="7C519118" w:rsidR="00B075B1" w:rsidRDefault="000F493A" w:rsidP="000F493A">
      <w:pPr>
        <w:pStyle w:val="Pardeliste"/>
        <w:numPr>
          <w:ilvl w:val="0"/>
          <w:numId w:val="6"/>
        </w:numPr>
        <w:jc w:val="both"/>
        <w:rPr>
          <w:rFonts w:ascii="Garamond" w:hAnsi="Garamond"/>
        </w:rPr>
      </w:pPr>
      <w:r>
        <w:rPr>
          <w:rFonts w:ascii="Garamond" w:hAnsi="Garamond"/>
        </w:rPr>
        <w:t xml:space="preserve">La consécration des acquis jurisprudentiels </w:t>
      </w:r>
      <w:bookmarkStart w:id="0" w:name="_GoBack"/>
      <w:bookmarkEnd w:id="0"/>
    </w:p>
    <w:p w14:paraId="5EC96E6E" w14:textId="77777777" w:rsidR="000F493A" w:rsidRDefault="000F493A" w:rsidP="000F493A">
      <w:pPr>
        <w:jc w:val="both"/>
        <w:rPr>
          <w:rFonts w:ascii="Garamond" w:hAnsi="Garamond"/>
        </w:rPr>
      </w:pPr>
    </w:p>
    <w:p w14:paraId="17FE0C78" w14:textId="5A55367D" w:rsidR="000F493A" w:rsidRDefault="000F493A" w:rsidP="000F493A">
      <w:pPr>
        <w:pStyle w:val="Pardeliste"/>
        <w:numPr>
          <w:ilvl w:val="0"/>
          <w:numId w:val="1"/>
        </w:numPr>
        <w:jc w:val="both"/>
        <w:rPr>
          <w:rFonts w:ascii="Garamond" w:hAnsi="Garamond"/>
        </w:rPr>
      </w:pPr>
      <w:r>
        <w:rPr>
          <w:rFonts w:ascii="Garamond" w:hAnsi="Garamond"/>
        </w:rPr>
        <w:t xml:space="preserve">Art 1123 </w:t>
      </w:r>
    </w:p>
    <w:p w14:paraId="12184875" w14:textId="77777777" w:rsidR="000F493A" w:rsidRPr="000F493A" w:rsidRDefault="000F493A" w:rsidP="000F493A">
      <w:pPr>
        <w:jc w:val="both"/>
        <w:rPr>
          <w:rFonts w:ascii="Garamond" w:hAnsi="Garamond"/>
        </w:rPr>
      </w:pPr>
    </w:p>
    <w:p w14:paraId="3B5D1092" w14:textId="5938C4BE" w:rsidR="000F493A" w:rsidRDefault="000F493A" w:rsidP="000F493A">
      <w:pPr>
        <w:pStyle w:val="Pardeliste"/>
        <w:numPr>
          <w:ilvl w:val="0"/>
          <w:numId w:val="6"/>
        </w:numPr>
        <w:jc w:val="both"/>
        <w:rPr>
          <w:rFonts w:ascii="Garamond" w:hAnsi="Garamond"/>
        </w:rPr>
      </w:pPr>
      <w:r>
        <w:rPr>
          <w:rFonts w:ascii="Garamond" w:hAnsi="Garamond"/>
        </w:rPr>
        <w:t>L’approfondissement en réponse aux difficultés pratiques</w:t>
      </w:r>
    </w:p>
    <w:p w14:paraId="4A0A3506" w14:textId="77777777" w:rsidR="000F493A" w:rsidRPr="000F493A" w:rsidRDefault="000F493A" w:rsidP="000F493A">
      <w:pPr>
        <w:jc w:val="both"/>
        <w:rPr>
          <w:rFonts w:ascii="Garamond" w:hAnsi="Garamond"/>
        </w:rPr>
      </w:pPr>
    </w:p>
    <w:p w14:paraId="08311AF5" w14:textId="2BF3B79E" w:rsidR="000F493A" w:rsidRPr="000F493A" w:rsidRDefault="000F493A" w:rsidP="000F493A">
      <w:pPr>
        <w:pStyle w:val="Pardeliste"/>
        <w:numPr>
          <w:ilvl w:val="0"/>
          <w:numId w:val="1"/>
        </w:numPr>
        <w:jc w:val="both"/>
        <w:rPr>
          <w:rFonts w:ascii="Garamond" w:hAnsi="Garamond"/>
        </w:rPr>
      </w:pPr>
      <w:r>
        <w:rPr>
          <w:rFonts w:ascii="Garamond" w:hAnsi="Garamond"/>
        </w:rPr>
        <w:t>Actions interrogatoires</w:t>
      </w:r>
    </w:p>
    <w:p w14:paraId="30EB2289" w14:textId="5BBF8E78" w:rsidR="000F493A" w:rsidRPr="000F493A" w:rsidRDefault="000F493A" w:rsidP="000F493A">
      <w:pPr>
        <w:pStyle w:val="Pardeliste"/>
        <w:numPr>
          <w:ilvl w:val="0"/>
          <w:numId w:val="1"/>
        </w:numPr>
        <w:jc w:val="both"/>
        <w:rPr>
          <w:rFonts w:ascii="Garamond" w:hAnsi="Garamond"/>
        </w:rPr>
      </w:pPr>
      <w:r>
        <w:rPr>
          <w:rFonts w:ascii="Garamond" w:hAnsi="Garamond"/>
        </w:rPr>
        <w:t xml:space="preserve">Constats de la JP post 2016 (certes toujours sous l’empire de la loi ancienne mais potentiellement influençant les </w:t>
      </w:r>
      <w:proofErr w:type="gramStart"/>
      <w:r>
        <w:rPr>
          <w:rFonts w:ascii="Garamond" w:hAnsi="Garamond"/>
        </w:rPr>
        <w:t>solutions )</w:t>
      </w:r>
      <w:proofErr w:type="gramEnd"/>
      <w:r>
        <w:rPr>
          <w:rFonts w:ascii="Garamond" w:hAnsi="Garamond"/>
        </w:rPr>
        <w:t xml:space="preserve">. </w:t>
      </w:r>
    </w:p>
    <w:sectPr w:rsidR="000F493A" w:rsidRPr="000F493A" w:rsidSect="000A2CA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115D4"/>
    <w:multiLevelType w:val="hybridMultilevel"/>
    <w:tmpl w:val="BC70B5E0"/>
    <w:lvl w:ilvl="0" w:tplc="4CC6D77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8EF2F2B"/>
    <w:multiLevelType w:val="hybridMultilevel"/>
    <w:tmpl w:val="BE6A7466"/>
    <w:lvl w:ilvl="0" w:tplc="87B6C03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2595735A"/>
    <w:multiLevelType w:val="hybridMultilevel"/>
    <w:tmpl w:val="1EA021B4"/>
    <w:lvl w:ilvl="0" w:tplc="5182429E">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73A6B96"/>
    <w:multiLevelType w:val="hybridMultilevel"/>
    <w:tmpl w:val="E2602E96"/>
    <w:lvl w:ilvl="0" w:tplc="E2DE1C8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92E5633"/>
    <w:multiLevelType w:val="hybridMultilevel"/>
    <w:tmpl w:val="045A370E"/>
    <w:lvl w:ilvl="0" w:tplc="1E1A47A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435271EA"/>
    <w:multiLevelType w:val="hybridMultilevel"/>
    <w:tmpl w:val="80887EB6"/>
    <w:lvl w:ilvl="0" w:tplc="8E3032A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74E77E7"/>
    <w:multiLevelType w:val="hybridMultilevel"/>
    <w:tmpl w:val="153AC3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6ED2183"/>
    <w:multiLevelType w:val="hybridMultilevel"/>
    <w:tmpl w:val="B25E34A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7"/>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DFE"/>
    <w:rsid w:val="000A2CAA"/>
    <w:rsid w:val="000F493A"/>
    <w:rsid w:val="00103197"/>
    <w:rsid w:val="00222213"/>
    <w:rsid w:val="005B7089"/>
    <w:rsid w:val="007619E3"/>
    <w:rsid w:val="007C1B6F"/>
    <w:rsid w:val="009D31B5"/>
    <w:rsid w:val="00B075B1"/>
    <w:rsid w:val="00B97EA3"/>
    <w:rsid w:val="00DD0DFE"/>
    <w:rsid w:val="00E956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630D6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DD0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765</Words>
  <Characters>4209</Characters>
  <Application>Microsoft Macintosh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4965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4</cp:revision>
  <dcterms:created xsi:type="dcterms:W3CDTF">2019-10-16T16:11:00Z</dcterms:created>
  <dcterms:modified xsi:type="dcterms:W3CDTF">2019-10-17T15:45:00Z</dcterms:modified>
</cp:coreProperties>
</file>