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94A0D" w14:textId="77777777" w:rsidR="008A3457" w:rsidRPr="00F20030" w:rsidRDefault="00F20030">
      <w:pPr>
        <w:rPr>
          <w:rFonts w:ascii="Garamond" w:hAnsi="Garamond"/>
        </w:rPr>
      </w:pPr>
      <w:r w:rsidRPr="00F20030">
        <w:rPr>
          <w:rFonts w:ascii="Garamond" w:hAnsi="Garamond"/>
        </w:rPr>
        <w:t xml:space="preserve">SÉANCE 2 – L2GB DGO </w:t>
      </w:r>
    </w:p>
    <w:p w14:paraId="7B4ACE7A" w14:textId="77777777" w:rsidR="00F20030" w:rsidRPr="00F20030" w:rsidRDefault="00F20030">
      <w:pPr>
        <w:rPr>
          <w:rFonts w:ascii="Garamond" w:hAnsi="Garamond"/>
        </w:rPr>
      </w:pPr>
      <w:r w:rsidRPr="00F20030">
        <w:rPr>
          <w:rFonts w:ascii="Garamond" w:hAnsi="Garamond"/>
        </w:rPr>
        <w:t xml:space="preserve">L’offre </w:t>
      </w:r>
    </w:p>
    <w:p w14:paraId="7FE024F6" w14:textId="77777777" w:rsidR="00F20030" w:rsidRPr="00F20030" w:rsidRDefault="00F20030">
      <w:pPr>
        <w:rPr>
          <w:rFonts w:ascii="Garamond" w:hAnsi="Garamond"/>
        </w:rPr>
      </w:pPr>
    </w:p>
    <w:p w14:paraId="54F7014E" w14:textId="77777777" w:rsidR="00F20030" w:rsidRPr="00F20030" w:rsidRDefault="00F20030">
      <w:pPr>
        <w:rPr>
          <w:rFonts w:ascii="Garamond" w:hAnsi="Garamond"/>
        </w:rPr>
      </w:pPr>
      <w:r w:rsidRPr="00F20030">
        <w:rPr>
          <w:rFonts w:ascii="Garamond" w:hAnsi="Garamond"/>
        </w:rPr>
        <w:t>Arrêt :7 mai 2008.</w:t>
      </w:r>
    </w:p>
    <w:p w14:paraId="22F9E4A1" w14:textId="77777777" w:rsidR="00F20030" w:rsidRPr="00F20030" w:rsidRDefault="00F20030">
      <w:pPr>
        <w:rPr>
          <w:rFonts w:ascii="Garamond" w:hAnsi="Garamond"/>
        </w:rPr>
      </w:pPr>
    </w:p>
    <w:p w14:paraId="67C4BF6A" w14:textId="77777777" w:rsidR="00F20030" w:rsidRPr="00F20030" w:rsidRDefault="00F20030">
      <w:pPr>
        <w:rPr>
          <w:rFonts w:ascii="Garamond" w:hAnsi="Garamond"/>
        </w:rPr>
      </w:pPr>
      <w:r w:rsidRPr="00F20030">
        <w:rPr>
          <w:rFonts w:ascii="Garamond" w:hAnsi="Garamond"/>
          <w:b/>
          <w:u w:val="single"/>
        </w:rPr>
        <w:t>Idée d’accroche</w:t>
      </w:r>
      <w:r w:rsidRPr="00F20030">
        <w:rPr>
          <w:rFonts w:ascii="Garamond" w:hAnsi="Garamond"/>
        </w:rPr>
        <w:t xml:space="preserve"> :  historique très bref de la notion d’offre (codification récente et complexité sur sa qualification ayant des conséquences pratiques essentielles, parmi lesquelles le droit ou pas à </w:t>
      </w:r>
      <w:proofErr w:type="gramStart"/>
      <w:r w:rsidRPr="00F20030">
        <w:rPr>
          <w:rFonts w:ascii="Garamond" w:hAnsi="Garamond"/>
        </w:rPr>
        <w:t>rétractation )</w:t>
      </w:r>
      <w:proofErr w:type="gramEnd"/>
      <w:r w:rsidRPr="00F20030">
        <w:rPr>
          <w:rFonts w:ascii="Garamond" w:hAnsi="Garamond"/>
        </w:rPr>
        <w:t>.</w:t>
      </w:r>
    </w:p>
    <w:p w14:paraId="01F037ED" w14:textId="77777777" w:rsidR="00F20030" w:rsidRPr="00F20030" w:rsidRDefault="00F20030">
      <w:pPr>
        <w:rPr>
          <w:rFonts w:ascii="Garamond" w:hAnsi="Garamond"/>
        </w:rPr>
      </w:pPr>
    </w:p>
    <w:p w14:paraId="779E4095" w14:textId="77777777" w:rsidR="00F20030" w:rsidRPr="00F20030" w:rsidRDefault="00F20030">
      <w:pPr>
        <w:rPr>
          <w:rFonts w:ascii="Garamond" w:hAnsi="Garamond"/>
        </w:rPr>
      </w:pPr>
      <w:r w:rsidRPr="00F20030">
        <w:rPr>
          <w:rFonts w:ascii="Garamond" w:hAnsi="Garamond"/>
          <w:b/>
          <w:u w:val="single"/>
        </w:rPr>
        <w:t>Faits matériels</w:t>
      </w:r>
      <w:r w:rsidRPr="00F20030">
        <w:rPr>
          <w:rFonts w:ascii="Garamond" w:hAnsi="Garamond"/>
        </w:rPr>
        <w:t xml:space="preserve"> : </w:t>
      </w:r>
    </w:p>
    <w:p w14:paraId="0D208AE5" w14:textId="77777777" w:rsidR="00F20030" w:rsidRPr="00F20030" w:rsidRDefault="00F20030">
      <w:pPr>
        <w:rPr>
          <w:rFonts w:ascii="Garamond" w:hAnsi="Garamond"/>
        </w:rPr>
      </w:pPr>
    </w:p>
    <w:p w14:paraId="347D39DA" w14:textId="77777777" w:rsidR="00F20030" w:rsidRDefault="00F20030" w:rsidP="00F20030">
      <w:pPr>
        <w:pStyle w:val="Pardeliste"/>
        <w:numPr>
          <w:ilvl w:val="0"/>
          <w:numId w:val="1"/>
        </w:numPr>
        <w:rPr>
          <w:rFonts w:ascii="Garamond" w:hAnsi="Garamond"/>
        </w:rPr>
      </w:pPr>
      <w:r w:rsidRPr="00F20030">
        <w:rPr>
          <w:rFonts w:ascii="Garamond" w:hAnsi="Garamond"/>
        </w:rPr>
        <w:t xml:space="preserve">24 juin 2000 : </w:t>
      </w:r>
      <w:r>
        <w:rPr>
          <w:rFonts w:ascii="Garamond" w:hAnsi="Garamond"/>
        </w:rPr>
        <w:t xml:space="preserve">signature proposition d’achat d’immeuble entre Mme X (acquéreur) et consorts Y (vendeurs) – intermédiaire agent </w:t>
      </w:r>
      <w:proofErr w:type="spellStart"/>
      <w:r>
        <w:rPr>
          <w:rFonts w:ascii="Garamond" w:hAnsi="Garamond"/>
        </w:rPr>
        <w:t>immo</w:t>
      </w:r>
      <w:proofErr w:type="spellEnd"/>
      <w:r>
        <w:rPr>
          <w:rFonts w:ascii="Garamond" w:hAnsi="Garamond"/>
        </w:rPr>
        <w:t xml:space="preserve"> (peu opérant) – remise d’un </w:t>
      </w:r>
      <w:proofErr w:type="spellStart"/>
      <w:r>
        <w:rPr>
          <w:rFonts w:ascii="Garamond" w:hAnsi="Garamond"/>
        </w:rPr>
        <w:t>depôt</w:t>
      </w:r>
      <w:proofErr w:type="spellEnd"/>
      <w:r>
        <w:rPr>
          <w:rFonts w:ascii="Garamond" w:hAnsi="Garamond"/>
        </w:rPr>
        <w:t xml:space="preserve"> de garantie </w:t>
      </w:r>
    </w:p>
    <w:p w14:paraId="43211EB0" w14:textId="77777777" w:rsidR="00F20030" w:rsidRDefault="00F20030" w:rsidP="00F20030">
      <w:pPr>
        <w:pStyle w:val="Pardeliste"/>
        <w:numPr>
          <w:ilvl w:val="0"/>
          <w:numId w:val="1"/>
        </w:numPr>
        <w:rPr>
          <w:rFonts w:ascii="Garamond" w:hAnsi="Garamond"/>
        </w:rPr>
      </w:pPr>
      <w:r>
        <w:rPr>
          <w:rFonts w:ascii="Garamond" w:hAnsi="Garamond"/>
        </w:rPr>
        <w:t xml:space="preserve">26 juin 2000 : retrait de l’offre d’achat </w:t>
      </w:r>
    </w:p>
    <w:p w14:paraId="68A30C25" w14:textId="77777777" w:rsidR="00F20030" w:rsidRDefault="00F20030" w:rsidP="00F20030">
      <w:pPr>
        <w:pStyle w:val="Pardeliste"/>
        <w:numPr>
          <w:ilvl w:val="0"/>
          <w:numId w:val="1"/>
        </w:numPr>
        <w:rPr>
          <w:rFonts w:ascii="Garamond" w:hAnsi="Garamond"/>
        </w:rPr>
      </w:pPr>
      <w:r>
        <w:rPr>
          <w:rFonts w:ascii="Garamond" w:hAnsi="Garamond"/>
        </w:rPr>
        <w:t xml:space="preserve">27 juin 2000 : l’agent </w:t>
      </w:r>
      <w:proofErr w:type="spellStart"/>
      <w:r>
        <w:rPr>
          <w:rFonts w:ascii="Garamond" w:hAnsi="Garamond"/>
        </w:rPr>
        <w:t>immo</w:t>
      </w:r>
      <w:proofErr w:type="spellEnd"/>
      <w:r>
        <w:rPr>
          <w:rFonts w:ascii="Garamond" w:hAnsi="Garamond"/>
        </w:rPr>
        <w:t xml:space="preserve"> adresse un courrier à Mme X indiquant l’acceptation de l’offre par les consorts Y </w:t>
      </w:r>
    </w:p>
    <w:p w14:paraId="5215C8D9" w14:textId="77777777" w:rsidR="00F20030" w:rsidRDefault="00F20030" w:rsidP="00F20030">
      <w:pPr>
        <w:rPr>
          <w:rFonts w:ascii="Garamond" w:hAnsi="Garamond"/>
        </w:rPr>
      </w:pPr>
    </w:p>
    <w:p w14:paraId="28C70BC5" w14:textId="77777777" w:rsidR="00F20030" w:rsidRDefault="00F20030" w:rsidP="00F20030">
      <w:pPr>
        <w:rPr>
          <w:rFonts w:ascii="Garamond" w:hAnsi="Garamond"/>
        </w:rPr>
      </w:pPr>
      <w:r>
        <w:rPr>
          <w:rFonts w:ascii="Garamond" w:hAnsi="Garamond"/>
          <w:b/>
          <w:u w:val="single"/>
        </w:rPr>
        <w:t xml:space="preserve">Faits judiciaires + </w:t>
      </w:r>
      <w:proofErr w:type="gramStart"/>
      <w:r>
        <w:rPr>
          <w:rFonts w:ascii="Garamond" w:hAnsi="Garamond"/>
          <w:b/>
          <w:u w:val="single"/>
        </w:rPr>
        <w:t>prétentions</w:t>
      </w:r>
      <w:r>
        <w:rPr>
          <w:rFonts w:ascii="Garamond" w:hAnsi="Garamond"/>
        </w:rPr>
        <w:t>:</w:t>
      </w:r>
      <w:proofErr w:type="gramEnd"/>
    </w:p>
    <w:p w14:paraId="771B3D5C" w14:textId="77777777" w:rsidR="00F20030" w:rsidRDefault="00F20030" w:rsidP="00F20030">
      <w:pPr>
        <w:pStyle w:val="Pardeliste"/>
        <w:numPr>
          <w:ilvl w:val="0"/>
          <w:numId w:val="1"/>
        </w:numPr>
        <w:rPr>
          <w:rFonts w:ascii="Garamond" w:hAnsi="Garamond"/>
        </w:rPr>
      </w:pPr>
      <w:r>
        <w:rPr>
          <w:rFonts w:ascii="Garamond" w:hAnsi="Garamond"/>
        </w:rPr>
        <w:t xml:space="preserve">Mme X assigne les consorts en restitution du dépôt de garantie + paiement DI </w:t>
      </w:r>
    </w:p>
    <w:p w14:paraId="6B0DE67C" w14:textId="77777777" w:rsidR="00F20030" w:rsidRDefault="00F20030" w:rsidP="00F20030">
      <w:pPr>
        <w:pStyle w:val="Pardeliste"/>
        <w:numPr>
          <w:ilvl w:val="0"/>
          <w:numId w:val="1"/>
        </w:numPr>
        <w:rPr>
          <w:rFonts w:ascii="Garamond" w:hAnsi="Garamond"/>
        </w:rPr>
      </w:pPr>
      <w:proofErr w:type="gramStart"/>
      <w:r>
        <w:rPr>
          <w:rFonts w:ascii="Garamond" w:hAnsi="Garamond"/>
        </w:rPr>
        <w:t>CA Pau</w:t>
      </w:r>
      <w:proofErr w:type="gramEnd"/>
      <w:r>
        <w:rPr>
          <w:rFonts w:ascii="Garamond" w:hAnsi="Garamond"/>
        </w:rPr>
        <w:t xml:space="preserve">, 17 octobre 2005 fait droit à la demande, confirmant ainsi la possibilité de rétracter son offre tant que celle ci n’a pas été acceptée </w:t>
      </w:r>
    </w:p>
    <w:p w14:paraId="0F500AD3" w14:textId="77777777" w:rsidR="00F20030" w:rsidRDefault="00F20030" w:rsidP="00F20030">
      <w:pPr>
        <w:pStyle w:val="Pardeliste"/>
        <w:numPr>
          <w:ilvl w:val="0"/>
          <w:numId w:val="1"/>
        </w:numPr>
        <w:rPr>
          <w:rFonts w:ascii="Garamond" w:hAnsi="Garamond"/>
        </w:rPr>
      </w:pPr>
      <w:r>
        <w:rPr>
          <w:rFonts w:ascii="Garamond" w:hAnsi="Garamond"/>
        </w:rPr>
        <w:t xml:space="preserve">Les consorts Y forment un pourvoi en cassation au motif que la rétractation n’est pas possible si un délai avait été fixé par l’offrant, s’engageant à ne pas se rétracter pendant toute la durée de ce délai </w:t>
      </w:r>
    </w:p>
    <w:p w14:paraId="0CBC0A29" w14:textId="77777777" w:rsidR="00F20030" w:rsidRDefault="00F20030" w:rsidP="00F20030">
      <w:pPr>
        <w:pStyle w:val="Pardeliste"/>
        <w:numPr>
          <w:ilvl w:val="0"/>
          <w:numId w:val="1"/>
        </w:numPr>
        <w:rPr>
          <w:rFonts w:ascii="Garamond" w:hAnsi="Garamond"/>
        </w:rPr>
      </w:pPr>
      <w:r>
        <w:rPr>
          <w:rFonts w:ascii="Garamond" w:hAnsi="Garamond"/>
        </w:rPr>
        <w:t>La Cour de cassation 3</w:t>
      </w:r>
      <w:r w:rsidRPr="00F20030">
        <w:rPr>
          <w:rFonts w:ascii="Garamond" w:hAnsi="Garamond"/>
          <w:vertAlign w:val="superscript"/>
        </w:rPr>
        <w:t>ème</w:t>
      </w:r>
      <w:r>
        <w:rPr>
          <w:rFonts w:ascii="Garamond" w:hAnsi="Garamond"/>
        </w:rPr>
        <w:t xml:space="preserve"> chambre civil, 7 mai 2008, casse et annule au motif que, malgré le principe de la libre rétractation de l’offre jusqu’à l’acceptation, il en va autrement dans le cas où l’offrant s’est engagé « à ne pas la retirer avant une certaine époque ». </w:t>
      </w:r>
    </w:p>
    <w:p w14:paraId="24DE81A4" w14:textId="77777777" w:rsidR="00F20030" w:rsidRDefault="00F20030" w:rsidP="00F20030">
      <w:pPr>
        <w:rPr>
          <w:rFonts w:ascii="Garamond" w:hAnsi="Garamond"/>
        </w:rPr>
      </w:pPr>
    </w:p>
    <w:p w14:paraId="072033A5" w14:textId="77777777" w:rsidR="00F20030" w:rsidRDefault="00F20030" w:rsidP="00F20030">
      <w:pPr>
        <w:rPr>
          <w:rFonts w:ascii="Garamond" w:hAnsi="Garamond"/>
        </w:rPr>
      </w:pPr>
      <w:r>
        <w:rPr>
          <w:rFonts w:ascii="Garamond" w:hAnsi="Garamond"/>
        </w:rPr>
        <w:t xml:space="preserve">La rétractation d’une offre demeure-t-elle possible en présence d’un délai de réflexion fixé par l’offrant ? </w:t>
      </w:r>
    </w:p>
    <w:p w14:paraId="7969E3DB" w14:textId="77777777" w:rsidR="00F20030" w:rsidRDefault="00F20030" w:rsidP="00F20030">
      <w:pPr>
        <w:rPr>
          <w:rFonts w:ascii="Garamond" w:hAnsi="Garamond"/>
        </w:rPr>
      </w:pPr>
    </w:p>
    <w:p w14:paraId="6E573B1F" w14:textId="5D928ACC" w:rsidR="00F20030" w:rsidRPr="00165159" w:rsidRDefault="00F20030" w:rsidP="00F20030">
      <w:pPr>
        <w:rPr>
          <w:rFonts w:ascii="Garamond" w:hAnsi="Garamond"/>
          <w:b/>
        </w:rPr>
      </w:pPr>
      <w:r w:rsidRPr="00165159">
        <w:rPr>
          <w:rFonts w:ascii="Garamond" w:hAnsi="Garamond"/>
          <w:b/>
        </w:rPr>
        <w:t>I –</w:t>
      </w:r>
      <w:r w:rsidR="005C7FAE" w:rsidRPr="00165159">
        <w:rPr>
          <w:rFonts w:ascii="Garamond" w:hAnsi="Garamond"/>
          <w:b/>
        </w:rPr>
        <w:t xml:space="preserve"> La réaffirmation du </w:t>
      </w:r>
      <w:r w:rsidRPr="00165159">
        <w:rPr>
          <w:rFonts w:ascii="Garamond" w:hAnsi="Garamond"/>
          <w:b/>
        </w:rPr>
        <w:t xml:space="preserve">principe de la libre rétractation de l’offre jusqu’à acceptation </w:t>
      </w:r>
    </w:p>
    <w:p w14:paraId="23840A20" w14:textId="77777777" w:rsidR="00F20030" w:rsidRDefault="00F20030" w:rsidP="00F20030">
      <w:pPr>
        <w:rPr>
          <w:rFonts w:ascii="Garamond" w:hAnsi="Garamond"/>
        </w:rPr>
      </w:pPr>
    </w:p>
    <w:p w14:paraId="1B853CD4" w14:textId="142C65D0" w:rsidR="00F20030" w:rsidRPr="00165159" w:rsidRDefault="005C7FAE" w:rsidP="00F20030">
      <w:pPr>
        <w:pStyle w:val="Pardeliste"/>
        <w:numPr>
          <w:ilvl w:val="0"/>
          <w:numId w:val="3"/>
        </w:numPr>
        <w:rPr>
          <w:rFonts w:ascii="Garamond" w:hAnsi="Garamond"/>
          <w:b/>
        </w:rPr>
      </w:pPr>
      <w:r w:rsidRPr="00165159">
        <w:rPr>
          <w:rFonts w:ascii="Garamond" w:hAnsi="Garamond"/>
          <w:b/>
        </w:rPr>
        <w:t xml:space="preserve">La qualification </w:t>
      </w:r>
      <w:r w:rsidR="00713EAE" w:rsidRPr="00165159">
        <w:rPr>
          <w:rFonts w:ascii="Garamond" w:hAnsi="Garamond"/>
          <w:b/>
        </w:rPr>
        <w:t xml:space="preserve">délicate </w:t>
      </w:r>
      <w:r w:rsidRPr="00165159">
        <w:rPr>
          <w:rFonts w:ascii="Garamond" w:hAnsi="Garamond"/>
          <w:b/>
        </w:rPr>
        <w:t xml:space="preserve">de l’offre </w:t>
      </w:r>
    </w:p>
    <w:p w14:paraId="11C7A9C5" w14:textId="77777777" w:rsidR="00056686" w:rsidRDefault="00056686" w:rsidP="00056686">
      <w:pPr>
        <w:rPr>
          <w:rFonts w:ascii="Garamond" w:hAnsi="Garamond"/>
        </w:rPr>
      </w:pPr>
    </w:p>
    <w:p w14:paraId="09B97E3E" w14:textId="283D1B5B" w:rsidR="005C7FAE" w:rsidRDefault="005C7FAE" w:rsidP="005C7FAE">
      <w:pPr>
        <w:pStyle w:val="Pardeliste"/>
        <w:numPr>
          <w:ilvl w:val="0"/>
          <w:numId w:val="1"/>
        </w:numPr>
        <w:rPr>
          <w:rFonts w:ascii="Garamond" w:hAnsi="Garamond"/>
        </w:rPr>
      </w:pPr>
      <w:r>
        <w:rPr>
          <w:rFonts w:ascii="Garamond" w:hAnsi="Garamond"/>
        </w:rPr>
        <w:t>Difficultés quant à la définition de la notion d’offre</w:t>
      </w:r>
      <w:r w:rsidR="00165159">
        <w:rPr>
          <w:rFonts w:ascii="Garamond" w:hAnsi="Garamond"/>
        </w:rPr>
        <w:t xml:space="preserve"> = pollicitation</w:t>
      </w:r>
      <w:r>
        <w:rPr>
          <w:rFonts w:ascii="Garamond" w:hAnsi="Garamond"/>
        </w:rPr>
        <w:t>. Notamment en raison de son absence dans les textes jusqu’à la réforme de 2016</w:t>
      </w:r>
    </w:p>
    <w:p w14:paraId="31EE310C" w14:textId="7D726919" w:rsidR="005C7FAE" w:rsidRDefault="005C7FAE" w:rsidP="005C7FAE">
      <w:pPr>
        <w:pStyle w:val="Pardeliste"/>
        <w:numPr>
          <w:ilvl w:val="0"/>
          <w:numId w:val="1"/>
        </w:numPr>
        <w:rPr>
          <w:rFonts w:ascii="Garamond" w:hAnsi="Garamond"/>
        </w:rPr>
      </w:pPr>
      <w:r>
        <w:rPr>
          <w:rFonts w:ascii="Garamond" w:hAnsi="Garamond"/>
        </w:rPr>
        <w:t xml:space="preserve">Désormais l’article 1114 définit l’offre : elle « comprend les éléments essentiels du contrat envisagé et </w:t>
      </w:r>
      <w:r w:rsidRPr="005C7FAE">
        <w:rPr>
          <w:rFonts w:ascii="Garamond" w:hAnsi="Garamond"/>
          <w:b/>
        </w:rPr>
        <w:t>exprime la volonté de son auteur d’être lié en cas d’acceptatio</w:t>
      </w:r>
      <w:r>
        <w:rPr>
          <w:rFonts w:ascii="Garamond" w:hAnsi="Garamond"/>
        </w:rPr>
        <w:t xml:space="preserve">n. » </w:t>
      </w:r>
      <w:r w:rsidR="00713EAE">
        <w:rPr>
          <w:rFonts w:ascii="Garamond" w:hAnsi="Garamond"/>
        </w:rPr>
        <w:t xml:space="preserve">Disposition reprend ainsi les critères classiques de l’offre : la fermeté et la précision </w:t>
      </w:r>
    </w:p>
    <w:p w14:paraId="02FA1BE0" w14:textId="2DFA0F22" w:rsidR="005C7FAE" w:rsidRDefault="005C7FAE" w:rsidP="005C7FAE">
      <w:pPr>
        <w:pStyle w:val="Pardeliste"/>
        <w:numPr>
          <w:ilvl w:val="0"/>
          <w:numId w:val="1"/>
        </w:numPr>
        <w:rPr>
          <w:rFonts w:ascii="Garamond" w:hAnsi="Garamond"/>
        </w:rPr>
      </w:pPr>
      <w:r>
        <w:rPr>
          <w:rFonts w:ascii="Garamond" w:hAnsi="Garamond"/>
        </w:rPr>
        <w:t xml:space="preserve">A cet égard l’article 1114 in fine, distingue l’offre notamment de l’invitation à entrer en négociation </w:t>
      </w:r>
      <w:r w:rsidR="00165159">
        <w:rPr>
          <w:rFonts w:ascii="Garamond" w:hAnsi="Garamond"/>
        </w:rPr>
        <w:t>– attention donc aux « éléments essentiels ».</w:t>
      </w:r>
    </w:p>
    <w:p w14:paraId="6EC997E8" w14:textId="7268D99D" w:rsidR="005C7FAE" w:rsidRDefault="005C7FAE" w:rsidP="005C7FAE">
      <w:pPr>
        <w:pStyle w:val="Pardeliste"/>
        <w:numPr>
          <w:ilvl w:val="0"/>
          <w:numId w:val="1"/>
        </w:numPr>
        <w:rPr>
          <w:rFonts w:ascii="Garamond" w:hAnsi="Garamond"/>
        </w:rPr>
      </w:pPr>
      <w:r>
        <w:rPr>
          <w:rFonts w:ascii="Garamond" w:hAnsi="Garamond"/>
        </w:rPr>
        <w:t xml:space="preserve">Arrêt du 21 septembre 2017 </w:t>
      </w:r>
      <w:r w:rsidR="00713EAE">
        <w:rPr>
          <w:rFonts w:ascii="Garamond" w:hAnsi="Garamond"/>
        </w:rPr>
        <w:t xml:space="preserve">(attention chambre sociale) </w:t>
      </w:r>
      <w:r>
        <w:rPr>
          <w:rFonts w:ascii="Garamond" w:hAnsi="Garamond"/>
        </w:rPr>
        <w:t>permet également de faire état de difficultés quant à la distinction avec une autre notion consacrée par la réforme de 2016 : la PU – art 1124 « </w:t>
      </w:r>
      <w:r>
        <w:rPr>
          <w:rFonts w:ascii="Garamond" w:hAnsi="Garamond"/>
          <w:i/>
        </w:rPr>
        <w:t>la promesse unilatérale est le contrat par lequel une partie, le promettant, accorde à l’autre, le bénéficiaire, le droit d’opter pour la conclusion d’un contrat dont les éléments essentiels sont déterminés, et pour la formation duquel ne manque que le consentement du bénéficiaire</w:t>
      </w:r>
      <w:r>
        <w:rPr>
          <w:rFonts w:ascii="Garamond" w:hAnsi="Garamond"/>
        </w:rPr>
        <w:t xml:space="preserve"> ». </w:t>
      </w:r>
      <w:r w:rsidR="00713EAE">
        <w:rPr>
          <w:rFonts w:ascii="Garamond" w:hAnsi="Garamond"/>
        </w:rPr>
        <w:t xml:space="preserve"> </w:t>
      </w:r>
    </w:p>
    <w:p w14:paraId="2936DC32" w14:textId="642C1D31" w:rsidR="00713EAE" w:rsidRPr="00713EAE" w:rsidRDefault="00713EAE" w:rsidP="00713EAE">
      <w:pPr>
        <w:pStyle w:val="Pardeliste"/>
        <w:numPr>
          <w:ilvl w:val="0"/>
          <w:numId w:val="1"/>
        </w:numPr>
        <w:rPr>
          <w:rFonts w:ascii="Garamond" w:hAnsi="Garamond"/>
        </w:rPr>
      </w:pPr>
      <w:r>
        <w:rPr>
          <w:rFonts w:ascii="Garamond" w:hAnsi="Garamond"/>
        </w:rPr>
        <w:t>La distinction est délicate tant promesse U &amp; offre peuvent se ressembler en tant que manifestation de volonté</w:t>
      </w:r>
    </w:p>
    <w:p w14:paraId="34E2CD22" w14:textId="2F34B40A" w:rsidR="00713EAE" w:rsidRPr="005C7FAE" w:rsidRDefault="00713EAE" w:rsidP="005C7FAE">
      <w:pPr>
        <w:pStyle w:val="Pardeliste"/>
        <w:numPr>
          <w:ilvl w:val="0"/>
          <w:numId w:val="1"/>
        </w:numPr>
        <w:rPr>
          <w:rFonts w:ascii="Garamond" w:hAnsi="Garamond"/>
        </w:rPr>
      </w:pPr>
      <w:r>
        <w:rPr>
          <w:rFonts w:ascii="Garamond" w:hAnsi="Garamond"/>
        </w:rPr>
        <w:lastRenderedPageBreak/>
        <w:t xml:space="preserve">Rapport également avec l’arrêt du 6 mars 90 chambre </w:t>
      </w:r>
      <w:proofErr w:type="spellStart"/>
      <w:r>
        <w:rPr>
          <w:rFonts w:ascii="Garamond" w:hAnsi="Garamond"/>
        </w:rPr>
        <w:t>com</w:t>
      </w:r>
      <w:proofErr w:type="spellEnd"/>
      <w:r>
        <w:rPr>
          <w:rFonts w:ascii="Garamond" w:hAnsi="Garamond"/>
        </w:rPr>
        <w:t xml:space="preserve"> </w:t>
      </w:r>
    </w:p>
    <w:p w14:paraId="744C3684" w14:textId="77777777" w:rsidR="00056686" w:rsidRPr="00056686" w:rsidRDefault="00056686" w:rsidP="00056686">
      <w:pPr>
        <w:rPr>
          <w:rFonts w:ascii="Garamond" w:hAnsi="Garamond"/>
        </w:rPr>
      </w:pPr>
    </w:p>
    <w:p w14:paraId="617B4444" w14:textId="172E0A6C" w:rsidR="00F20030" w:rsidRPr="00165159" w:rsidRDefault="00F20030" w:rsidP="00F20030">
      <w:pPr>
        <w:pStyle w:val="Pardeliste"/>
        <w:numPr>
          <w:ilvl w:val="0"/>
          <w:numId w:val="3"/>
        </w:numPr>
        <w:rPr>
          <w:rFonts w:ascii="Garamond" w:hAnsi="Garamond"/>
          <w:b/>
        </w:rPr>
      </w:pPr>
      <w:r w:rsidRPr="00165159">
        <w:rPr>
          <w:rFonts w:ascii="Garamond" w:hAnsi="Garamond"/>
          <w:b/>
        </w:rPr>
        <w:t xml:space="preserve">La rencontre </w:t>
      </w:r>
      <w:proofErr w:type="gramStart"/>
      <w:r w:rsidR="00DD29E8">
        <w:rPr>
          <w:rFonts w:ascii="Garamond" w:hAnsi="Garamond"/>
          <w:b/>
        </w:rPr>
        <w:t xml:space="preserve">avant </w:t>
      </w:r>
      <w:r w:rsidRPr="00165159">
        <w:rPr>
          <w:rFonts w:ascii="Garamond" w:hAnsi="Garamond"/>
          <w:b/>
        </w:rPr>
        <w:t xml:space="preserve"> l’acceptation</w:t>
      </w:r>
      <w:proofErr w:type="gramEnd"/>
      <w:r w:rsidRPr="00165159">
        <w:rPr>
          <w:rFonts w:ascii="Garamond" w:hAnsi="Garamond"/>
          <w:b/>
        </w:rPr>
        <w:t xml:space="preserve"> en tant que justification de la rétractation </w:t>
      </w:r>
    </w:p>
    <w:p w14:paraId="5EF88805" w14:textId="77777777" w:rsidR="005C7FAE" w:rsidRDefault="005C7FAE" w:rsidP="005C7FAE">
      <w:pPr>
        <w:rPr>
          <w:rFonts w:ascii="Garamond" w:hAnsi="Garamond"/>
        </w:rPr>
      </w:pPr>
    </w:p>
    <w:p w14:paraId="17CBDF3F" w14:textId="77777777" w:rsidR="00165159" w:rsidRDefault="00713EAE" w:rsidP="005C7FAE">
      <w:pPr>
        <w:rPr>
          <w:rFonts w:ascii="Garamond" w:hAnsi="Garamond"/>
        </w:rPr>
      </w:pPr>
      <w:r>
        <w:rPr>
          <w:rFonts w:ascii="Garamond" w:hAnsi="Garamond"/>
        </w:rPr>
        <w:t>La qualification est pourtant indispensable afin de légitimer, ou pas la rétractation. En effet, si la jurisprudence a parfois pu sembler hésité</w:t>
      </w:r>
      <w:r w:rsidR="00165159">
        <w:rPr>
          <w:rFonts w:ascii="Garamond" w:hAnsi="Garamond"/>
        </w:rPr>
        <w:t xml:space="preserve"> jusqu’en 2016 (opposition de la simple manifestation unilatérale de volonté qui ne peut produire d’effets VS sécurité des transactions). </w:t>
      </w:r>
    </w:p>
    <w:p w14:paraId="4F031243" w14:textId="5101B7A3" w:rsidR="00713EAE" w:rsidRDefault="00165159" w:rsidP="005C7FAE">
      <w:pPr>
        <w:rPr>
          <w:rFonts w:ascii="Garamond" w:hAnsi="Garamond"/>
        </w:rPr>
      </w:pPr>
      <w:r>
        <w:rPr>
          <w:rFonts w:ascii="Garamond" w:hAnsi="Garamond"/>
        </w:rPr>
        <w:t>L</w:t>
      </w:r>
      <w:r w:rsidR="00713EAE">
        <w:rPr>
          <w:rFonts w:ascii="Garamond" w:hAnsi="Garamond"/>
        </w:rPr>
        <w:t xml:space="preserve">a réforme de 2016 se montre très claire sur les facultés de rétractation, qu’il s’agisse en matière d’offre ou en matière de promesse unilatérale (c’est sur ce point que la distinction prend tout son sens pratique). En ce sens, elle consacrera le principe alors posé par la Cour en 2008 : </w:t>
      </w:r>
    </w:p>
    <w:p w14:paraId="56BC70E5" w14:textId="60554D2B" w:rsidR="00713EAE" w:rsidRDefault="00713EAE" w:rsidP="00713EAE">
      <w:pPr>
        <w:pStyle w:val="Pardeliste"/>
        <w:numPr>
          <w:ilvl w:val="0"/>
          <w:numId w:val="1"/>
        </w:numPr>
        <w:rPr>
          <w:rFonts w:ascii="Garamond" w:hAnsi="Garamond"/>
        </w:rPr>
      </w:pPr>
      <w:r>
        <w:rPr>
          <w:rFonts w:ascii="Garamond" w:hAnsi="Garamond"/>
        </w:rPr>
        <w:t>1115 : « </w:t>
      </w:r>
      <w:r>
        <w:rPr>
          <w:rFonts w:ascii="Garamond" w:hAnsi="Garamond"/>
          <w:i/>
        </w:rPr>
        <w:t>elle peut être librement rétractée tant qu’elle n’est pas parvenue à son destinataire</w:t>
      </w:r>
      <w:r>
        <w:rPr>
          <w:rFonts w:ascii="Garamond" w:hAnsi="Garamond"/>
        </w:rPr>
        <w:t xml:space="preserve"> ». </w:t>
      </w:r>
    </w:p>
    <w:p w14:paraId="50C4C1DE" w14:textId="1F076F56" w:rsidR="00713EAE" w:rsidRPr="00713EAE" w:rsidRDefault="00713EAE" w:rsidP="00713EAE">
      <w:pPr>
        <w:pStyle w:val="Pardeliste"/>
        <w:numPr>
          <w:ilvl w:val="0"/>
          <w:numId w:val="1"/>
        </w:numPr>
        <w:rPr>
          <w:rFonts w:ascii="Garamond" w:hAnsi="Garamond"/>
        </w:rPr>
      </w:pPr>
      <w:r>
        <w:rPr>
          <w:rFonts w:ascii="Garamond" w:hAnsi="Garamond"/>
        </w:rPr>
        <w:t xml:space="preserve">Opposition avec 1124 al 2 : </w:t>
      </w:r>
      <w:r>
        <w:rPr>
          <w:rFonts w:ascii="Garamond" w:hAnsi="Garamond"/>
          <w:i/>
        </w:rPr>
        <w:t>« la révocation de la promesse pendant le temps laissé au bénéficiaire pour opter n’empêche pas la formation du contrat promis</w:t>
      </w:r>
      <w:r>
        <w:rPr>
          <w:rFonts w:ascii="Garamond" w:hAnsi="Garamond"/>
        </w:rPr>
        <w:t xml:space="preserve"> ». </w:t>
      </w:r>
    </w:p>
    <w:p w14:paraId="07C41F98" w14:textId="77777777" w:rsidR="005C7FAE" w:rsidRPr="005C7FAE" w:rsidRDefault="005C7FAE" w:rsidP="005C7FAE">
      <w:pPr>
        <w:rPr>
          <w:rFonts w:ascii="Garamond" w:hAnsi="Garamond"/>
        </w:rPr>
      </w:pPr>
    </w:p>
    <w:p w14:paraId="50F6C7D5" w14:textId="77777777" w:rsidR="00F20030" w:rsidRDefault="00F20030" w:rsidP="00F20030">
      <w:pPr>
        <w:rPr>
          <w:rFonts w:ascii="Garamond" w:hAnsi="Garamond"/>
        </w:rPr>
      </w:pPr>
    </w:p>
    <w:p w14:paraId="265D1C22" w14:textId="77777777" w:rsidR="00F20030" w:rsidRPr="00165159" w:rsidRDefault="00F20030" w:rsidP="00F20030">
      <w:pPr>
        <w:rPr>
          <w:rFonts w:ascii="Garamond" w:hAnsi="Garamond"/>
          <w:b/>
        </w:rPr>
      </w:pPr>
      <w:r w:rsidRPr="00165159">
        <w:rPr>
          <w:rFonts w:ascii="Garamond" w:hAnsi="Garamond"/>
          <w:b/>
        </w:rPr>
        <w:t xml:space="preserve">II- Une atténuation au principe : la fixation d’un délai par l’offrant </w:t>
      </w:r>
    </w:p>
    <w:p w14:paraId="5D0D1174" w14:textId="77777777" w:rsidR="00F20030" w:rsidRDefault="00F20030" w:rsidP="00F20030">
      <w:pPr>
        <w:rPr>
          <w:rFonts w:ascii="Garamond" w:hAnsi="Garamond"/>
        </w:rPr>
      </w:pPr>
    </w:p>
    <w:p w14:paraId="59636575" w14:textId="700D27FD" w:rsidR="00F20030" w:rsidRPr="00165159" w:rsidRDefault="00F20030" w:rsidP="00F20030">
      <w:pPr>
        <w:pStyle w:val="Pardeliste"/>
        <w:numPr>
          <w:ilvl w:val="0"/>
          <w:numId w:val="4"/>
        </w:numPr>
        <w:rPr>
          <w:rFonts w:ascii="Garamond" w:hAnsi="Garamond"/>
          <w:b/>
        </w:rPr>
      </w:pPr>
      <w:r w:rsidRPr="00165159">
        <w:rPr>
          <w:rFonts w:ascii="Garamond" w:hAnsi="Garamond"/>
          <w:b/>
        </w:rPr>
        <w:t>La fixation</w:t>
      </w:r>
      <w:r w:rsidR="00165159">
        <w:rPr>
          <w:rFonts w:ascii="Garamond" w:hAnsi="Garamond"/>
          <w:b/>
        </w:rPr>
        <w:t xml:space="preserve"> indispensable</w:t>
      </w:r>
      <w:r w:rsidRPr="00165159">
        <w:rPr>
          <w:rFonts w:ascii="Garamond" w:hAnsi="Garamond"/>
          <w:b/>
        </w:rPr>
        <w:t xml:space="preserve"> d’un délai </w:t>
      </w:r>
    </w:p>
    <w:p w14:paraId="5F739D8E" w14:textId="77777777" w:rsidR="00713EAE" w:rsidRDefault="00713EAE" w:rsidP="00713EAE">
      <w:pPr>
        <w:rPr>
          <w:rFonts w:ascii="Garamond" w:hAnsi="Garamond"/>
        </w:rPr>
      </w:pPr>
    </w:p>
    <w:p w14:paraId="2924B60C" w14:textId="0B217F00" w:rsidR="00165159" w:rsidRPr="00165159" w:rsidRDefault="00165159" w:rsidP="00165159">
      <w:pPr>
        <w:rPr>
          <w:rFonts w:ascii="Garamond" w:hAnsi="Garamond"/>
        </w:rPr>
      </w:pPr>
      <w:r>
        <w:rPr>
          <w:rFonts w:ascii="Garamond" w:hAnsi="Garamond"/>
        </w:rPr>
        <w:t xml:space="preserve">Notre arrêt est l’illustration de l’hésitation jurisprudentielle mentionnée plus haut. Si le principe de libre révocabilité était admise par les juges, il pouvait être limité en cas de circonstances </w:t>
      </w:r>
      <w:proofErr w:type="gramStart"/>
      <w:r>
        <w:rPr>
          <w:rFonts w:ascii="Garamond" w:hAnsi="Garamond"/>
        </w:rPr>
        <w:t>particulières .</w:t>
      </w:r>
      <w:proofErr w:type="gramEnd"/>
      <w:r>
        <w:rPr>
          <w:rFonts w:ascii="Garamond" w:hAnsi="Garamond"/>
        </w:rPr>
        <w:t xml:space="preserve"> </w:t>
      </w:r>
      <w:r>
        <w:rPr>
          <w:rFonts w:ascii="Garamond" w:hAnsi="Garamond"/>
        </w:rPr>
        <w:t xml:space="preserve">En ce sens notre arrêt semble être un arrêt de principe </w:t>
      </w:r>
      <w:r>
        <w:rPr>
          <w:rFonts w:ascii="Garamond" w:hAnsi="Garamond"/>
        </w:rPr>
        <w:t>duquel</w:t>
      </w:r>
      <w:r>
        <w:rPr>
          <w:rFonts w:ascii="Garamond" w:hAnsi="Garamond"/>
        </w:rPr>
        <w:t xml:space="preserve"> le législateur va largement </w:t>
      </w:r>
      <w:r>
        <w:rPr>
          <w:rFonts w:ascii="Garamond" w:hAnsi="Garamond"/>
        </w:rPr>
        <w:t>s’inspirer dans le cadre</w:t>
      </w:r>
      <w:r>
        <w:rPr>
          <w:rFonts w:ascii="Garamond" w:hAnsi="Garamond"/>
        </w:rPr>
        <w:t xml:space="preserve"> de l’ordonnance du 10 février 2016</w:t>
      </w:r>
    </w:p>
    <w:p w14:paraId="3EB46A9A" w14:textId="541EAE66" w:rsidR="00A868BC" w:rsidRDefault="00A868BC" w:rsidP="00A868BC">
      <w:pPr>
        <w:rPr>
          <w:rFonts w:ascii="Garamond" w:hAnsi="Garamond"/>
        </w:rPr>
      </w:pPr>
      <w:r>
        <w:rPr>
          <w:rFonts w:ascii="Garamond" w:hAnsi="Garamond"/>
        </w:rPr>
        <w:t xml:space="preserve">En effet, la jurisprudence atténuait avant la réforme de 2016, et le législateur l’admet aujourd’hui : si l’offre est formulée avec délai, alors il y avait (et il y </w:t>
      </w:r>
      <w:proofErr w:type="gramStart"/>
      <w:r>
        <w:rPr>
          <w:rFonts w:ascii="Garamond" w:hAnsi="Garamond"/>
        </w:rPr>
        <w:t>a )</w:t>
      </w:r>
      <w:proofErr w:type="gramEnd"/>
      <w:r>
        <w:rPr>
          <w:rFonts w:ascii="Garamond" w:hAnsi="Garamond"/>
        </w:rPr>
        <w:t xml:space="preserve"> une obligation de la maintenir durant toute la durée dudit délai. </w:t>
      </w:r>
    </w:p>
    <w:p w14:paraId="3EB46A9A" w14:textId="541EAE66" w:rsidR="00A868BC" w:rsidRDefault="00A868BC" w:rsidP="00A868BC">
      <w:pPr>
        <w:rPr>
          <w:rFonts w:ascii="Garamond" w:hAnsi="Garamond"/>
        </w:rPr>
      </w:pPr>
      <w:r>
        <w:rPr>
          <w:rFonts w:ascii="Garamond" w:hAnsi="Garamond"/>
        </w:rPr>
        <w:t>JP : rétractation en violation de cette règle = responsabilité engagée = DI</w:t>
      </w:r>
    </w:p>
    <w:p w14:paraId="474C45CD" w14:textId="69269438" w:rsidR="00A868BC" w:rsidRDefault="00A868BC" w:rsidP="00A868BC">
      <w:pPr>
        <w:rPr>
          <w:rFonts w:ascii="Garamond" w:hAnsi="Garamond"/>
        </w:rPr>
      </w:pPr>
      <w:r>
        <w:rPr>
          <w:rFonts w:ascii="Garamond" w:hAnsi="Garamond"/>
        </w:rPr>
        <w:t xml:space="preserve">Difficultés pratique néanmoins à admettre l’exécution forcée </w:t>
      </w:r>
      <w:proofErr w:type="gramStart"/>
      <w:r>
        <w:rPr>
          <w:rFonts w:ascii="Garamond" w:hAnsi="Garamond"/>
        </w:rPr>
        <w:t>( à</w:t>
      </w:r>
      <w:proofErr w:type="gramEnd"/>
      <w:r>
        <w:rPr>
          <w:rFonts w:ascii="Garamond" w:hAnsi="Garamond"/>
        </w:rPr>
        <w:t xml:space="preserve"> aborder plus tard ) </w:t>
      </w:r>
    </w:p>
    <w:p w14:paraId="080955A0" w14:textId="77777777" w:rsidR="00A868BC" w:rsidRDefault="00A868BC" w:rsidP="00A868BC">
      <w:pPr>
        <w:rPr>
          <w:rFonts w:ascii="Garamond" w:hAnsi="Garamond"/>
        </w:rPr>
      </w:pPr>
    </w:p>
    <w:p w14:paraId="081111EC" w14:textId="792E1286" w:rsidR="00A868BC" w:rsidRDefault="00A868BC" w:rsidP="00A868BC">
      <w:pPr>
        <w:rPr>
          <w:rFonts w:ascii="Garamond" w:hAnsi="Garamond"/>
        </w:rPr>
      </w:pPr>
      <w:r>
        <w:rPr>
          <w:rFonts w:ascii="Garamond" w:hAnsi="Garamond"/>
        </w:rPr>
        <w:t xml:space="preserve">ATTENTION JP antérieure : </w:t>
      </w:r>
      <w:r w:rsidRPr="00A868BC">
        <w:rPr>
          <w:rFonts w:ascii="Garamond" w:hAnsi="Garamond"/>
          <w:u w:val="single"/>
        </w:rPr>
        <w:t>si</w:t>
      </w:r>
      <w:r>
        <w:rPr>
          <w:rFonts w:ascii="Garamond" w:hAnsi="Garamond"/>
        </w:rPr>
        <w:t xml:space="preserve"> </w:t>
      </w:r>
      <w:r w:rsidRPr="00A868BC">
        <w:rPr>
          <w:rFonts w:ascii="Garamond" w:hAnsi="Garamond"/>
          <w:u w:val="single"/>
        </w:rPr>
        <w:t>pas de délai fixé par l’offrant</w:t>
      </w:r>
      <w:r>
        <w:rPr>
          <w:rFonts w:ascii="Garamond" w:hAnsi="Garamond"/>
        </w:rPr>
        <w:t>, l’appréciation du délai raisonnable (de son existence (civ 3</w:t>
      </w:r>
      <w:r w:rsidRPr="00A868BC">
        <w:rPr>
          <w:rFonts w:ascii="Garamond" w:hAnsi="Garamond"/>
          <w:vertAlign w:val="superscript"/>
        </w:rPr>
        <w:t>e</w:t>
      </w:r>
      <w:r>
        <w:rPr>
          <w:rFonts w:ascii="Garamond" w:hAnsi="Garamond"/>
        </w:rPr>
        <w:t>, 8 février 1968) et le cas échant de son quantum (civ 3</w:t>
      </w:r>
      <w:r w:rsidRPr="00A868BC">
        <w:rPr>
          <w:rFonts w:ascii="Garamond" w:hAnsi="Garamond"/>
          <w:vertAlign w:val="superscript"/>
        </w:rPr>
        <w:t>e</w:t>
      </w:r>
      <w:r>
        <w:rPr>
          <w:rFonts w:ascii="Garamond" w:hAnsi="Garamond"/>
        </w:rPr>
        <w:t xml:space="preserve"> 22 avril 58) appartenait au juge. </w:t>
      </w:r>
    </w:p>
    <w:p w14:paraId="20A1C5CD" w14:textId="77777777" w:rsidR="00A868BC" w:rsidRDefault="00A868BC" w:rsidP="00A868BC">
      <w:pPr>
        <w:rPr>
          <w:rFonts w:ascii="Garamond" w:hAnsi="Garamond"/>
        </w:rPr>
      </w:pPr>
    </w:p>
    <w:p w14:paraId="7789A2B3" w14:textId="10ADED39" w:rsidR="00A868BC" w:rsidRDefault="00A868BC" w:rsidP="00A868BC">
      <w:pPr>
        <w:rPr>
          <w:rFonts w:ascii="Garamond" w:hAnsi="Garamond"/>
        </w:rPr>
      </w:pPr>
      <w:r>
        <w:rPr>
          <w:rFonts w:ascii="Garamond" w:hAnsi="Garamond"/>
        </w:rPr>
        <w:t>En somme doctrine y voyait ce qu’on appelait la théorie de l’engagement unilatéral </w:t>
      </w:r>
      <w:r w:rsidRPr="00A868BC">
        <w:rPr>
          <w:rFonts w:ascii="Garamond" w:hAnsi="Garamond"/>
        </w:rPr>
        <w:sym w:font="Wingdings" w:char="F0E8"/>
      </w:r>
      <w:r>
        <w:rPr>
          <w:rFonts w:ascii="Garamond" w:hAnsi="Garamond"/>
        </w:rPr>
        <w:t xml:space="preserve"> volonté seule = obligation ? </w:t>
      </w:r>
    </w:p>
    <w:p w14:paraId="7EE9F789" w14:textId="77777777" w:rsidR="00A868BC" w:rsidRDefault="00A868BC" w:rsidP="00A868BC">
      <w:pPr>
        <w:rPr>
          <w:rFonts w:ascii="Garamond" w:hAnsi="Garamond"/>
        </w:rPr>
      </w:pPr>
    </w:p>
    <w:p w14:paraId="1B94AF7A" w14:textId="77777777" w:rsidR="00A868BC" w:rsidRDefault="00A868BC" w:rsidP="00A868BC">
      <w:pPr>
        <w:rPr>
          <w:rFonts w:ascii="Garamond" w:hAnsi="Garamond"/>
        </w:rPr>
      </w:pPr>
      <w:r>
        <w:rPr>
          <w:rFonts w:ascii="Garamond" w:hAnsi="Garamond"/>
        </w:rPr>
        <w:t xml:space="preserve">Art 1116 et suivants </w:t>
      </w:r>
    </w:p>
    <w:p w14:paraId="321CAA5F" w14:textId="0927DF16" w:rsidR="00A868BC" w:rsidRDefault="00A868BC" w:rsidP="00A868BC">
      <w:pPr>
        <w:pStyle w:val="Pardeliste"/>
        <w:numPr>
          <w:ilvl w:val="0"/>
          <w:numId w:val="1"/>
        </w:numPr>
        <w:rPr>
          <w:rFonts w:ascii="Garamond" w:hAnsi="Garamond"/>
        </w:rPr>
      </w:pPr>
      <w:proofErr w:type="gramStart"/>
      <w:r>
        <w:rPr>
          <w:rFonts w:ascii="Garamond" w:hAnsi="Garamond"/>
        </w:rPr>
        <w:t>« </w:t>
      </w:r>
      <w:r>
        <w:rPr>
          <w:rFonts w:ascii="Garamond" w:hAnsi="Garamond"/>
          <w:i/>
        </w:rPr>
        <w:t xml:space="preserve"> elle</w:t>
      </w:r>
      <w:proofErr w:type="gramEnd"/>
      <w:r>
        <w:rPr>
          <w:rFonts w:ascii="Garamond" w:hAnsi="Garamond"/>
          <w:i/>
        </w:rPr>
        <w:t xml:space="preserve"> ne peut être rétractée avant l’expiration du délai fixé par son auteur ou, à défaut à l’issue d’un délai raisonnable</w:t>
      </w:r>
      <w:r>
        <w:rPr>
          <w:rFonts w:ascii="Garamond" w:hAnsi="Garamond"/>
        </w:rPr>
        <w:t xml:space="preserve"> ». </w:t>
      </w:r>
      <w:r w:rsidRPr="00A868BC">
        <w:rPr>
          <w:rFonts w:ascii="Garamond" w:hAnsi="Garamond"/>
        </w:rPr>
        <w:sym w:font="Wingdings" w:char="F0E8"/>
      </w:r>
      <w:r>
        <w:rPr>
          <w:rFonts w:ascii="Garamond" w:hAnsi="Garamond"/>
        </w:rPr>
        <w:t xml:space="preserve"> </w:t>
      </w:r>
      <w:proofErr w:type="gramStart"/>
      <w:r>
        <w:rPr>
          <w:rFonts w:ascii="Garamond" w:hAnsi="Garamond"/>
        </w:rPr>
        <w:t>large</w:t>
      </w:r>
      <w:proofErr w:type="gramEnd"/>
      <w:r>
        <w:rPr>
          <w:rFonts w:ascii="Garamond" w:hAnsi="Garamond"/>
        </w:rPr>
        <w:t xml:space="preserve"> pouvoir d’appréciation du délai raisonnable pour le juge . Opportunité donc, pour rester maître de la situation, de spontanément fixer un délai ? </w:t>
      </w:r>
    </w:p>
    <w:p w14:paraId="70CA4A63" w14:textId="77777777" w:rsidR="00A868BC" w:rsidRPr="00A868BC" w:rsidRDefault="00A868BC" w:rsidP="00A868BC">
      <w:pPr>
        <w:rPr>
          <w:rFonts w:ascii="Garamond" w:hAnsi="Garamond"/>
        </w:rPr>
      </w:pPr>
    </w:p>
    <w:p w14:paraId="72D5F4BC" w14:textId="77777777" w:rsidR="00713EAE" w:rsidRPr="00713EAE" w:rsidRDefault="00713EAE" w:rsidP="00713EAE">
      <w:pPr>
        <w:rPr>
          <w:rFonts w:ascii="Garamond" w:hAnsi="Garamond"/>
        </w:rPr>
      </w:pPr>
    </w:p>
    <w:p w14:paraId="55381CEF" w14:textId="560D23AE" w:rsidR="00F20030" w:rsidRPr="00165159" w:rsidRDefault="00F20030" w:rsidP="00F20030">
      <w:pPr>
        <w:pStyle w:val="Pardeliste"/>
        <w:numPr>
          <w:ilvl w:val="0"/>
          <w:numId w:val="4"/>
        </w:numPr>
        <w:rPr>
          <w:rFonts w:ascii="Garamond" w:hAnsi="Garamond"/>
          <w:b/>
        </w:rPr>
      </w:pPr>
      <w:r w:rsidRPr="00165159">
        <w:rPr>
          <w:rFonts w:ascii="Garamond" w:hAnsi="Garamond"/>
          <w:b/>
        </w:rPr>
        <w:t>Les conséquence</w:t>
      </w:r>
      <w:r w:rsidR="005C7FAE" w:rsidRPr="00165159">
        <w:rPr>
          <w:rFonts w:ascii="Garamond" w:hAnsi="Garamond"/>
          <w:b/>
        </w:rPr>
        <w:t>s</w:t>
      </w:r>
      <w:r w:rsidRPr="00165159">
        <w:rPr>
          <w:rFonts w:ascii="Garamond" w:hAnsi="Garamond"/>
          <w:b/>
        </w:rPr>
        <w:t xml:space="preserve"> de </w:t>
      </w:r>
      <w:r w:rsidR="00DD29E8">
        <w:rPr>
          <w:rFonts w:ascii="Garamond" w:hAnsi="Garamond"/>
          <w:b/>
        </w:rPr>
        <w:t>l’invalidité de la rétractation</w:t>
      </w:r>
      <w:r w:rsidRPr="00165159">
        <w:rPr>
          <w:rFonts w:ascii="Garamond" w:hAnsi="Garamond"/>
          <w:b/>
        </w:rPr>
        <w:t xml:space="preserve"> </w:t>
      </w:r>
    </w:p>
    <w:p w14:paraId="3B71429D" w14:textId="77777777" w:rsidR="00713EAE" w:rsidRDefault="00713EAE" w:rsidP="00713EAE">
      <w:pPr>
        <w:rPr>
          <w:rFonts w:ascii="Garamond" w:hAnsi="Garamond"/>
        </w:rPr>
      </w:pPr>
    </w:p>
    <w:p w14:paraId="59A5FAE7" w14:textId="2F562C63" w:rsidR="00A868BC" w:rsidRDefault="00A868BC" w:rsidP="00713EAE">
      <w:pPr>
        <w:rPr>
          <w:rFonts w:ascii="Garamond" w:hAnsi="Garamond"/>
        </w:rPr>
      </w:pPr>
      <w:r>
        <w:rPr>
          <w:rFonts w:ascii="Garamond" w:hAnsi="Garamond"/>
        </w:rPr>
        <w:t xml:space="preserve"> </w:t>
      </w:r>
      <w:r w:rsidR="00DD29E8">
        <w:rPr>
          <w:rFonts w:ascii="Garamond" w:hAnsi="Garamond"/>
        </w:rPr>
        <w:t xml:space="preserve">La sanction de la rétractation irrégulière a été également source de débat avant 2016, et l’arrêt en l’espèce semble assez timide à l’idée de dégager une solution ferme. </w:t>
      </w:r>
    </w:p>
    <w:p w14:paraId="5608EC18" w14:textId="10211E44" w:rsidR="00DD29E8" w:rsidRDefault="00DD29E8" w:rsidP="00713EAE">
      <w:pPr>
        <w:rPr>
          <w:rFonts w:ascii="Garamond" w:hAnsi="Garamond"/>
        </w:rPr>
      </w:pPr>
      <w:r>
        <w:rPr>
          <w:rFonts w:ascii="Garamond" w:hAnsi="Garamond"/>
        </w:rPr>
        <w:t xml:space="preserve">D’aucuns défendaient l’inefficacité de la rétractation </w:t>
      </w:r>
      <w:r w:rsidRPr="00DD29E8">
        <w:rPr>
          <w:rFonts w:ascii="Garamond" w:hAnsi="Garamond"/>
        </w:rPr>
        <w:sym w:font="Wingdings" w:char="F0E8"/>
      </w:r>
      <w:r>
        <w:rPr>
          <w:rFonts w:ascii="Garamond" w:hAnsi="Garamond"/>
        </w:rPr>
        <w:t xml:space="preserve"> formation du contrat </w:t>
      </w:r>
    </w:p>
    <w:p w14:paraId="052FA6DD" w14:textId="10E65668" w:rsidR="00DD29E8" w:rsidRDefault="00DD29E8" w:rsidP="00713EAE">
      <w:pPr>
        <w:rPr>
          <w:rFonts w:ascii="Garamond" w:hAnsi="Garamond"/>
        </w:rPr>
      </w:pPr>
      <w:r>
        <w:rPr>
          <w:rFonts w:ascii="Garamond" w:hAnsi="Garamond"/>
        </w:rPr>
        <w:t>Autre solution, plus souple, consistait à engager la responsabilité de l’offrant et donc DI</w:t>
      </w:r>
    </w:p>
    <w:p w14:paraId="3C75DE85" w14:textId="77777777" w:rsidR="00DD29E8" w:rsidRDefault="00DD29E8" w:rsidP="00713EAE">
      <w:pPr>
        <w:rPr>
          <w:rFonts w:ascii="Garamond" w:hAnsi="Garamond"/>
        </w:rPr>
      </w:pPr>
    </w:p>
    <w:p w14:paraId="6F8D8F32" w14:textId="4A341327" w:rsidR="00DD29E8" w:rsidRDefault="00DD29E8" w:rsidP="00713EAE">
      <w:pPr>
        <w:rPr>
          <w:rFonts w:ascii="Garamond" w:hAnsi="Garamond"/>
        </w:rPr>
      </w:pPr>
      <w:r>
        <w:rPr>
          <w:rFonts w:ascii="Garamond" w:hAnsi="Garamond"/>
        </w:rPr>
        <w:t xml:space="preserve">En l’espèce, l’utilisation du visa 1134 laisse supposer que le contrat va, en l’occurrence, être formé et donc devrait s’appliquait. </w:t>
      </w:r>
    </w:p>
    <w:p w14:paraId="3E2B8E83" w14:textId="77777777" w:rsidR="00DD29E8" w:rsidRDefault="00DD29E8" w:rsidP="00DD29E8">
      <w:pPr>
        <w:rPr>
          <w:rFonts w:ascii="Garamond" w:hAnsi="Garamond"/>
        </w:rPr>
      </w:pPr>
      <w:r>
        <w:rPr>
          <w:rFonts w:ascii="Garamond" w:hAnsi="Garamond"/>
        </w:rPr>
        <w:t xml:space="preserve">La Cour vise l’ancien art 1134 du Code civil, disposant que les conventions tiennent lieu de loi à ceux qui les ont faites. </w:t>
      </w:r>
      <w:proofErr w:type="gramStart"/>
      <w:r>
        <w:rPr>
          <w:rFonts w:ascii="Garamond" w:hAnsi="Garamond"/>
        </w:rPr>
        <w:t xml:space="preserve">( </w:t>
      </w:r>
      <w:proofErr w:type="spellStart"/>
      <w:r>
        <w:rPr>
          <w:rFonts w:ascii="Garamond" w:hAnsi="Garamond"/>
        </w:rPr>
        <w:t>auj</w:t>
      </w:r>
      <w:proofErr w:type="spellEnd"/>
      <w:proofErr w:type="gramEnd"/>
      <w:r>
        <w:rPr>
          <w:rFonts w:ascii="Garamond" w:hAnsi="Garamond"/>
        </w:rPr>
        <w:t xml:space="preserve"> art 1103) </w:t>
      </w:r>
    </w:p>
    <w:p w14:paraId="2806FDF3" w14:textId="77777777" w:rsidR="00DD29E8" w:rsidRDefault="00DD29E8" w:rsidP="00DD29E8">
      <w:pPr>
        <w:rPr>
          <w:rFonts w:ascii="Garamond" w:hAnsi="Garamond"/>
        </w:rPr>
      </w:pPr>
      <w:r>
        <w:rPr>
          <w:rFonts w:ascii="Garamond" w:hAnsi="Garamond"/>
        </w:rPr>
        <w:t xml:space="preserve">La référence apparaît inévitable en ce sens que c’est bien la force obligatoire du contrat qui conduira à lier, ou à ne pas lier, les parties, contractuellement, selon que la rétractation ne sera pas, ou sera, acceptée. </w:t>
      </w:r>
    </w:p>
    <w:p w14:paraId="6FCA47A6" w14:textId="77777777" w:rsidR="00DD29E8" w:rsidRDefault="00DD29E8" w:rsidP="00713EAE">
      <w:pPr>
        <w:rPr>
          <w:rFonts w:ascii="Garamond" w:hAnsi="Garamond"/>
        </w:rPr>
      </w:pPr>
    </w:p>
    <w:p w14:paraId="5B9BEC2A" w14:textId="66DCB1FA" w:rsidR="00161F81" w:rsidRDefault="00161F81" w:rsidP="00713EAE">
      <w:pPr>
        <w:rPr>
          <w:rFonts w:ascii="Garamond" w:hAnsi="Garamond"/>
        </w:rPr>
      </w:pPr>
      <w:r>
        <w:rPr>
          <w:rFonts w:ascii="Garamond" w:hAnsi="Garamond"/>
        </w:rPr>
        <w:t xml:space="preserve">Aujourd’hui : l’exécution forcée du contrat est clairement évincé par le législateur (alinéa 2 de l’article 1116), ce </w:t>
      </w:r>
      <w:proofErr w:type="gramStart"/>
      <w:r>
        <w:rPr>
          <w:rFonts w:ascii="Garamond" w:hAnsi="Garamond"/>
        </w:rPr>
        <w:t>qui ,</w:t>
      </w:r>
      <w:proofErr w:type="gramEnd"/>
      <w:r>
        <w:rPr>
          <w:rFonts w:ascii="Garamond" w:hAnsi="Garamond"/>
        </w:rPr>
        <w:t xml:space="preserve"> là encore, pose une différence de taille avec le régime de la PU. Seule la responsabilité civile de l’offrant sera engagée. Pire, le système de la rupture fautive des pourparlers est transposé en matière d’offre (al 3 : pas de réparation du gain espéré du </w:t>
      </w:r>
      <w:proofErr w:type="gramStart"/>
      <w:r>
        <w:rPr>
          <w:rFonts w:ascii="Garamond" w:hAnsi="Garamond"/>
        </w:rPr>
        <w:t>contrat )</w:t>
      </w:r>
      <w:proofErr w:type="gramEnd"/>
      <w:r>
        <w:rPr>
          <w:rFonts w:ascii="Garamond" w:hAnsi="Garamond"/>
        </w:rPr>
        <w:t xml:space="preserve"> </w:t>
      </w:r>
    </w:p>
    <w:p w14:paraId="3BA4B137" w14:textId="77777777" w:rsidR="00161F81" w:rsidRDefault="00161F81" w:rsidP="00713EAE">
      <w:pPr>
        <w:rPr>
          <w:rFonts w:ascii="Garamond" w:hAnsi="Garamond"/>
        </w:rPr>
      </w:pPr>
    </w:p>
    <w:p w14:paraId="382F6C50" w14:textId="1B56BFF3" w:rsidR="00161F81" w:rsidRPr="00713EAE" w:rsidRDefault="00161F81" w:rsidP="00713EAE">
      <w:pPr>
        <w:rPr>
          <w:rFonts w:ascii="Garamond" w:hAnsi="Garamond"/>
        </w:rPr>
      </w:pPr>
      <w:r>
        <w:rPr>
          <w:rFonts w:ascii="Garamond" w:hAnsi="Garamond"/>
        </w:rPr>
        <w:t xml:space="preserve">Si en </w:t>
      </w:r>
      <w:proofErr w:type="gramStart"/>
      <w:r>
        <w:rPr>
          <w:rFonts w:ascii="Garamond" w:hAnsi="Garamond"/>
        </w:rPr>
        <w:t>pratique l’on</w:t>
      </w:r>
      <w:proofErr w:type="gramEnd"/>
      <w:r>
        <w:rPr>
          <w:rFonts w:ascii="Garamond" w:hAnsi="Garamond"/>
        </w:rPr>
        <w:t xml:space="preserve"> comprend aisément que le législateur ait fait un pas en arrière par rapport à l’arrêt de 2008, d’un point de vue théorique : l’irrévocabilité de l’offre pendant un durée fixé (ou à défaut raisonnable) se trouve quelque peu vidé de sa substance. </w:t>
      </w:r>
      <w:bookmarkStart w:id="0" w:name="_GoBack"/>
      <w:bookmarkEnd w:id="0"/>
      <w:r>
        <w:rPr>
          <w:rFonts w:ascii="Garamond" w:hAnsi="Garamond"/>
        </w:rPr>
        <w:t xml:space="preserve"> </w:t>
      </w:r>
    </w:p>
    <w:sectPr w:rsidR="00161F81" w:rsidRPr="00713EAE" w:rsidSect="000A2C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3C55"/>
    <w:multiLevelType w:val="hybridMultilevel"/>
    <w:tmpl w:val="D152EE24"/>
    <w:lvl w:ilvl="0" w:tplc="34A052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750296"/>
    <w:multiLevelType w:val="hybridMultilevel"/>
    <w:tmpl w:val="11AA0DAE"/>
    <w:lvl w:ilvl="0" w:tplc="F00804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E01726A"/>
    <w:multiLevelType w:val="hybridMultilevel"/>
    <w:tmpl w:val="DF5A1550"/>
    <w:lvl w:ilvl="0" w:tplc="B906CA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B90131F"/>
    <w:multiLevelType w:val="hybridMultilevel"/>
    <w:tmpl w:val="D554AC7A"/>
    <w:lvl w:ilvl="0" w:tplc="35F68CF4">
      <w:start w:val="2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30"/>
    <w:rsid w:val="00056686"/>
    <w:rsid w:val="000A2CAA"/>
    <w:rsid w:val="00161F81"/>
    <w:rsid w:val="00165159"/>
    <w:rsid w:val="005C7FAE"/>
    <w:rsid w:val="00713EAE"/>
    <w:rsid w:val="009D31B5"/>
    <w:rsid w:val="00A868BC"/>
    <w:rsid w:val="00DD29E8"/>
    <w:rsid w:val="00F20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8938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F2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1104</Words>
  <Characters>5699</Characters>
  <Application>Microsoft Macintosh Word</Application>
  <DocSecurity>0</DocSecurity>
  <Lines>113</Lines>
  <Paragraphs>18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2019-10-03T15:45:00Z</dcterms:created>
  <dcterms:modified xsi:type="dcterms:W3CDTF">2019-10-04T16:04:00Z</dcterms:modified>
</cp:coreProperties>
</file>