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Documentación interna</w:t>
      </w:r>
    </w:p>
    <w:p>
      <w:r>
        <w:t>Notas técnicas del proyecto que no son parte del README principal. A diferencia</w:t>
      </w:r>
    </w:p>
    <w:p>
      <w:r>
        <w:t>de este, son documentos de trabajo — pueden quedar desactualizados con el</w:t>
      </w:r>
    </w:p>
    <w:p>
      <w:r>
        <w:t>tiempo; ante cualquier duda, el código es la fuente de verdad.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Documento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Qué es</w:t>
            </w:r>
          </w:p>
        </w:tc>
      </w:tr>
      <w:tr>
        <w:tc>
          <w:tcPr>
            <w:tcW w:type="dxa" w:w="4320"/>
          </w:tcPr>
          <w:p>
            <w:r/>
            <w:r>
              <w:t>[INFORME_AUDITORIA_SEGURIDAD_API.md](INFORME_AUDITORIA_SEGURIDAD_API.md)</w:t>
            </w:r>
          </w:p>
        </w:tc>
        <w:tc>
          <w:tcPr>
            <w:tcW w:type="dxa" w:w="4320"/>
          </w:tcPr>
          <w:p>
            <w:r/>
            <w:r>
              <w:t>Auditoría de seguridad de febrero 2026, con nota de qué se corrigió después.</w:t>
            </w:r>
          </w:p>
        </w:tc>
      </w:tr>
      <w:tr>
        <w:tc>
          <w:tcPr>
            <w:tcW w:type="dxa" w:w="4320"/>
          </w:tcPr>
          <w:p>
            <w:r/>
            <w:r>
              <w:t>[MANUAL_API_SMARTTIME.md](MANUAL_API_SMARTTIME.md)</w:t>
            </w:r>
          </w:p>
        </w:tc>
        <w:tc>
          <w:tcPr>
            <w:tcW w:type="dxa" w:w="4320"/>
          </w:tcPr>
          <w:p>
            <w:r/>
            <w:r>
              <w:t>Cómo consumir los endpoints de la integración SmartTime (autenticación, crear/listar/editar/dar de baja usuarios).</w:t>
            </w:r>
          </w:p>
        </w:tc>
      </w:tr>
      <w:tr>
        <w:tc>
          <w:tcPr>
            <w:tcW w:type="dxa" w:w="4320"/>
          </w:tcPr>
          <w:p>
            <w:r/>
            <w:r>
              <w:t>[FRONTEND_REFRESH_TOKEN.md](FRONTEND_REFRESH_TOKEN.md)</w:t>
            </w:r>
          </w:p>
        </w:tc>
        <w:tc>
          <w:tcPr>
            <w:tcW w:type="dxa" w:w="4320"/>
          </w:tcPr>
          <w:p>
            <w:r/>
            <w:r>
              <w:t>Cómo debe usar el frontend el refresh token para renovar la sesión sin desloguear al usuario.</w:t>
            </w:r>
          </w:p>
        </w:tc>
      </w:tr>
      <w:tr>
        <w:tc>
          <w:tcPr>
            <w:tcW w:type="dxa" w:w="4320"/>
          </w:tcPr>
          <w:p>
            <w:r/>
            <w:r>
              <w:t>[CONFIGURAR_CONEXION_SA.md](CONFIGURAR_CONEXION_SA.md)</w:t>
            </w:r>
          </w:p>
        </w:tc>
        <w:tc>
          <w:tcPr>
            <w:tcW w:type="dxa" w:w="4320"/>
          </w:tcPr>
          <w:p>
            <w:r/>
            <w:r>
              <w:t xml:space="preserve">Cómo apuntar la cadena de conexión al usuario </w:t>
            </w:r>
            <w:r>
              <w:rPr>
                <w:rFonts w:ascii="Consolas" w:hAnsi="Consolas"/>
                <w:sz w:val="19"/>
              </w:rPr>
              <w:t>sa</w:t>
            </w:r>
            <w:r>
              <w:t xml:space="preserve"> de SQL Server para la configuración inicial.</w:t>
            </w:r>
          </w:p>
        </w:tc>
      </w:tr>
    </w:tbl>
    <w:p/>
    <w:p>
      <w:r>
        <w:t>Ninguno de estos documentos debe contener contraseñas, claves ni datos reales</w:t>
      </w:r>
    </w:p>
    <w:p>
      <w:r>
        <w:t>— solo placeholders (</w:t>
      </w:r>
      <w:r>
        <w:rPr>
          <w:rFonts w:ascii="Consolas" w:hAnsi="Consolas"/>
          <w:sz w:val="19"/>
        </w:rPr>
        <w:t>TU_CONTRASEÑA_SA</w:t>
      </w:r>
      <w:r>
        <w:t>, etc.). Si vas a pegar un ejemplo real</w:t>
      </w:r>
    </w:p>
    <w:p>
      <w:r>
        <w:t>para probar algo, sacalo antes de guardar el archivo.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