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pPr>
      <w:r>
        <w:rPr>
          <w:b w:val="false"/>
          <w:bCs w:val="false"/>
          <w:i w:val="false"/>
          <w:iCs w:val="false"/>
        </w:rPr>
        <w:t xml:space="preserve">CHICANO AUTO SERVICES</w:t>
      </w:r>
    </w:p>
    <w:p>
      <w:pPr>
        <w:pStyle w:val="Heading2"/>
        <w:spacing w:after="120" w:before="240"/>
        <w:jc w:val="center"/>
      </w:pPr>
      <w:r>
        <w:rPr>
          <w:b w:val="false"/>
          <w:bCs w:val="false"/>
          <w:i w:val="false"/>
          <w:iCs w:val="false"/>
        </w:rPr>
        <w:t xml:space="preserve">Business Model complet — Version 0.1 (Phase 2)</w:t>
      </w:r>
    </w:p>
    <w:p>
      <w:pPr>
        <w:spacing w:after="160"/>
        <w:jc w:val="center"/>
      </w:pPr>
      <w:r>
        <w:rPr>
          <w:b/>
          <w:bCs/>
          <w:i w:val="false"/>
          <w:iCs w:val="false"/>
        </w:rPr>
        <w:t xml:space="preserve">Porteur :</w:t>
      </w:r>
      <w:r>
        <w:rPr>
          <w:b w:val="false"/>
          <w:bCs w:val="false"/>
          <w:i w:val="false"/>
          <w:iCs w:val="false"/>
        </w:rPr>
        <w:t xml:space="preserve"> M. Checknè Keita — </w:t>
      </w:r>
      <w:r>
        <w:rPr>
          <w:b/>
          <w:bCs/>
          <w:i w:val="false"/>
          <w:iCs w:val="false"/>
        </w:rPr>
        <w:t xml:space="preserve">Implantation :</w:t>
      </w:r>
      <w:r>
        <w:rPr>
          <w:b w:val="false"/>
          <w:bCs w:val="false"/>
          <w:i w:val="false"/>
          <w:iCs w:val="false"/>
        </w:rPr>
        <w:t xml:space="preserve"> Banankoro, Route de Sikasso, Mali — </w:t>
      </w:r>
      <w:r>
        <w:rPr>
          <w:b/>
          <w:bCs/>
          <w:i w:val="false"/>
          <w:iCs w:val="false"/>
        </w:rPr>
        <w:t xml:space="preserve">Zone de lancement :</w:t>
      </w:r>
      <w:r>
        <w:rPr>
          <w:b w:val="false"/>
          <w:bCs w:val="false"/>
          <w:i w:val="false"/>
          <w:iCs w:val="false"/>
        </w:rPr>
        <w:t xml:space="preserve"> Bamako</w:t>
      </w:r>
    </w:p>
    <w:p>
      <w:pPr>
        <w:spacing w:after="160"/>
        <w:jc w:val="center"/>
      </w:pPr>
      <w:r>
        <w:rPr>
          <w:b/>
          <w:bCs/>
          <w:i w:val="false"/>
          <w:iCs w:val="false"/>
        </w:rPr>
        <w:t xml:space="preserve">Base de ce document :</w:t>
      </w:r>
      <w:r>
        <w:rPr>
          <w:b w:val="false"/>
          <w:bCs w:val="false"/>
          <w:i w:val="false"/>
          <w:iCs w:val="false"/>
        </w:rPr>
        <w:t xml:space="preserve"> Lean Canvas v0.1 validé par le porteur. Les hypothèses non tranchées explicitement lors de la validation (prix, horaires exacts, priorité B2C/B2B) sont reprises ici comme </w:t>
      </w:r>
      <w:r>
        <w:rPr>
          <w:b/>
          <w:bCs/>
          <w:i w:val="false"/>
          <w:iCs w:val="false"/>
        </w:rPr>
        <w:t xml:space="preserve">hypothèses de travail</w:t>
      </w:r>
      <w:r>
        <w:rPr>
          <w:b w:val="false"/>
          <w:bCs w:val="false"/>
          <w:i w:val="false"/>
          <w:iCs w:val="false"/>
        </w:rPr>
        <w:t xml:space="preserve">, pas comme des décisions figées — elles restent modifiables.</w:t>
      </w:r>
    </w:p>
    <w:p>
      <w:pPr>
        <w:spacing w:after="160"/>
        <w:jc w:val="center"/>
      </w:pPr>
      <w:r>
        <w:rPr>
          <w:b/>
          <w:bCs/>
          <w:i w:val="false"/>
          <w:iCs w:val="false"/>
        </w:rPr>
        <w:t xml:space="preserve">Avertissement méthodologique :</w:t>
      </w:r>
      <w:r>
        <w:rPr>
          <w:b w:val="false"/>
          <w:bCs w:val="false"/>
          <w:i w:val="false"/>
          <w:iCs w:val="false"/>
        </w:rPr>
        <w:t xml:space="preserve"> toute donnée chiffrée marquée </w:t>
      </w:r>
      <w:r>
        <w:rPr>
          <w:b w:val="false"/>
          <w:bCs w:val="false"/>
          <w:i/>
          <w:iCs/>
        </w:rPr>
        <w:t xml:space="preserve">(HYPOTHÈSE)</w:t>
      </w:r>
      <w:r>
        <w:rPr>
          <w:b w:val="false"/>
          <w:bCs w:val="false"/>
          <w:i w:val="false"/>
          <w:iCs w:val="false"/>
        </w:rPr>
        <w:t xml:space="preserve"> est une estimation construite pour permettre la modélisation, pas une donnée de marché vérifiée. Toute donnée non marquée provient d'une source citée. Ce document ne remplace pas une étude de marché terrain ni des devis fermes.</w:t>
      </w:r>
    </w:p>
    <w:p>
      <w:pPr>
        <w:spacing w:after="120" w:before="300"/>
        <w:jc w:val="center"/>
      </w:pPr>
      <w:r>
        <w:rPr>
          <w:b/>
          <w:bCs/>
          <w:sz w:val="28"/>
          <w:szCs w:val="28"/>
        </w:rPr>
        <w:t xml:space="preserve">Sommaire</w:t>
      </w:r>
    </w:p>
    <w:p>
      <w:pPr>
        <w:spacing w:after="200"/>
        <w:jc w:val="center"/>
      </w:pPr>
      <w:r>
        <w:rPr>
          <w:i/>
          <w:iCs/>
          <w:color w:val="666666"/>
          <w:sz w:val="18"/>
          <w:szCs w:val="18"/>
        </w:rPr>
        <w:t xml:space="preserve">(Clic droit sur le sommaire → « Mettre à jour les champs » pour afficher la pagination)</w:t>
      </w:r>
    </w:p>
    <w:sdt>
      <w:sdtPr>
        <w:alias w:val="Sommaire"/>
      </w:sdtPr>
      <w:sdtContent>
        <w:p>
          <w:r>
            <w:fldChar w:fldCharType="begin" w:dirty="true"/>
            <w:instrText xml:space="preserve">TOC \h \o "1-4"</w:instrText>
            <w:fldChar w:fldCharType="separate"/>
          </w:r>
        </w:p>
        <w:p>
          <w:r>
            <w:fldChar w:fldCharType="end"/>
          </w:r>
        </w:p>
      </w:sdtContent>
    </w:sdt>
    <w:p>
      <w:r>
        <w:br w:type="page"/>
      </w:r>
    </w:p>
    <w:p>
      <w:pPr>
        <w:pStyle w:val="Heading2"/>
        <w:pageBreakBefore/>
        <w:spacing w:after="120" w:before="240"/>
      </w:pPr>
      <w:r>
        <w:rPr>
          <w:b w:val="false"/>
          <w:bCs w:val="false"/>
          <w:i w:val="false"/>
          <w:iCs w:val="false"/>
        </w:rPr>
        <w:t xml:space="preserve">I. Executive Summary </w:t>
      </w:r>
      <w:r>
        <w:rPr>
          <w:b w:val="false"/>
          <w:bCs w:val="false"/>
          <w:i/>
          <w:iCs/>
        </w:rPr>
        <w:t xml:space="preserve">(point 1)</w:t>
      </w:r>
    </w:p>
    <w:p>
      <w:pPr>
        <w:spacing w:after="160"/>
        <w:jc w:val="both"/>
      </w:pPr>
      <w:r>
        <w:rPr>
          <w:b w:val="false"/>
          <w:bCs w:val="false"/>
          <w:i w:val="false"/>
          <w:iCs w:val="false"/>
        </w:rPr>
        <w:t xml:space="preserve">CHICANO AUTO SERVICES est un centre de diagnostic, maintenance et assistance automobile à Bamako, dont la différenciation repose sur un principe opérationnel simple à énoncer et exigeant à tenir : aucune réparation n'est proposée sans diagnostic instrumenté préalable et rapport écrit. Le modèle économique combine trois moteurs de revenus complémentaires : la réparation classique (volume, marge modérée), le diagnostic et l'expertise avant-achat (marge plus confortable, effet de différenciation fort), et les contrats de flotte B2B (revenu récurrent, cœur de la valorisation à moyen terme).</w:t>
      </w:r>
    </w:p>
    <w:p>
      <w:pPr>
        <w:spacing w:after="160"/>
        <w:jc w:val="both"/>
      </w:pPr>
      <w:r>
        <w:rPr>
          <w:b w:val="false"/>
          <w:bCs w:val="false"/>
          <w:i w:val="false"/>
          <w:iCs w:val="false"/>
        </w:rPr>
        <w:t xml:space="preserve">Le lancement est conçu en MVP resserré : un site (Banankoro), un pont, une valise de diagnostic professionnelle, une équipe technique réduite mais qualifiée, un canal WhatsApp Business structuré. L'investissement initial indispensable est estimé, à ce stade, entre </w:t>
      </w:r>
      <w:r>
        <w:rPr>
          <w:b/>
          <w:bCs/>
          <w:i w:val="false"/>
          <w:iCs w:val="false"/>
        </w:rPr>
        <w:t xml:space="preserve">11 et 20 millions FCFA</w:t>
      </w:r>
      <w:r>
        <w:rPr>
          <w:b w:val="false"/>
          <w:bCs w:val="false"/>
          <w:i w:val="false"/>
          <w:iCs w:val="false"/>
        </w:rPr>
        <w:t xml:space="preserve"> </w:t>
      </w:r>
      <w:r>
        <w:rPr>
          <w:b w:val="false"/>
          <w:bCs w:val="false"/>
          <w:i/>
          <w:iCs/>
        </w:rPr>
        <w:t xml:space="preserve">(HYPOTHÈSE, à faire confirmer par devis fermes — voir section VIII)</w:t>
      </w:r>
      <w:r>
        <w:rPr>
          <w:b w:val="false"/>
          <w:bCs w:val="false"/>
          <w:i w:val="false"/>
          <w:iCs w:val="false"/>
        </w:rPr>
        <w:t xml:space="preserve">, hors véhicule mobile et équipements avancés, volontairement différés jusqu'à validation de la demande.</w:t>
      </w:r>
    </w:p>
    <w:p>
      <w:pPr>
        <w:spacing w:after="160"/>
        <w:jc w:val="both"/>
      </w:pPr>
      <w:r>
        <w:rPr>
          <w:b w:val="false"/>
          <w:bCs w:val="false"/>
          <w:i w:val="false"/>
          <w:iCs w:val="false"/>
        </w:rPr>
        <w:t xml:space="preserve">Les trois facteurs qui détermineront la réussite ou l'échec du projet, dans l'ordre de criticité identifié en Phase 1, restent : la capacité à recruter et fidéliser un technicien réellement compétent en diagnostic électronique multimarque ; la disposition réelle du marché bamakois à payer pour un diagnostic indépendamment de la réparation ; et la soutenabilité opérationnelle de la promesse de disponibilité étendue dans un contexte énergétique malien qui reste, début 2026, sous tension marquée.</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II. Présentation, vision et mission </w:t>
      </w:r>
      <w:r>
        <w:rPr>
          <w:b w:val="false"/>
          <w:bCs w:val="false"/>
          <w:i/>
          <w:iCs/>
        </w:rPr>
        <w:t xml:space="preserve">(points 2–3)</w:t>
      </w:r>
    </w:p>
    <w:p>
      <w:pPr>
        <w:spacing w:after="160"/>
        <w:jc w:val="both"/>
      </w:pPr>
      <w:r>
        <w:rPr>
          <w:b/>
          <w:bCs/>
          <w:i w:val="false"/>
          <w:iCs w:val="false"/>
        </w:rPr>
        <w:t xml:space="preserve">Présentation.</w:t>
      </w:r>
      <w:r>
        <w:rPr>
          <w:b w:val="false"/>
          <w:bCs w:val="false"/>
          <w:i w:val="false"/>
          <w:iCs w:val="false"/>
        </w:rPr>
        <w:t xml:space="preserve"> CHICANO AUTO SERVICES est un centre de diagnostic, maintenance et assistance automobile implanté à Banankoro (Route de Sikasso), fondé par M. Checknè Keita, ciblant dans un premier temps Bamako et son agglomération, avec l'ambition à moyen terme de construire un réseau national (CHICANO NETWORK).</w:t>
      </w:r>
    </w:p>
    <w:p>
      <w:pPr>
        <w:spacing w:after="160"/>
        <w:jc w:val="both"/>
      </w:pPr>
      <w:r>
        <w:rPr>
          <w:b/>
          <w:bCs/>
          <w:i w:val="false"/>
          <w:iCs w:val="false"/>
        </w:rPr>
        <w:t xml:space="preserve">Vision.</w:t>
      </w:r>
      <w:r>
        <w:rPr>
          <w:b w:val="false"/>
          <w:bCs w:val="false"/>
          <w:i w:val="false"/>
          <w:iCs w:val="false"/>
        </w:rPr>
        <w:t xml:space="preserve"> Devenir la référence malienne du diagnostic automobile fiable et documenté — l'acteur vers lequel on se tourne quand on veut </w:t>
      </w:r>
      <w:r>
        <w:rPr>
          <w:b w:val="false"/>
          <w:bCs w:val="false"/>
          <w:i/>
          <w:iCs/>
        </w:rPr>
        <w:t xml:space="preserve">savoir</w:t>
      </w:r>
      <w:r>
        <w:rPr>
          <w:b w:val="false"/>
          <w:bCs w:val="false"/>
          <w:i w:val="false"/>
          <w:iCs w:val="false"/>
        </w:rPr>
        <w:t xml:space="preserve"> ce qui ne va pas sur un véhicule avant de payer pour le réparer, que ce soit pour un entretien courant, un achat d'occasion ou la gestion d'une flotte professionnelle.</w:t>
      </w:r>
    </w:p>
    <w:p>
      <w:pPr>
        <w:spacing w:after="160"/>
        <w:jc w:val="both"/>
      </w:pPr>
      <w:r>
        <w:rPr>
          <w:b/>
          <w:bCs/>
          <w:i w:val="false"/>
          <w:iCs w:val="false"/>
        </w:rPr>
        <w:t xml:space="preserve">Mission.</w:t>
      </w:r>
      <w:r>
        <w:rPr>
          <w:b w:val="false"/>
          <w:bCs w:val="false"/>
          <w:i w:val="false"/>
          <w:iCs w:val="false"/>
        </w:rPr>
        <w:t xml:space="preserve"> Rendre le diagnostic automobile professionnel et instrumenté accessible aux particuliers et aux entreprises de Bamako, en le documentant systématiquement, en assurant un suivi du véhicule dans la durée, et en couvrant les situations d'urgence avec une disponibilité étendue — construite progressivement et non promise avant d'être tenue.</w:t>
      </w:r>
    </w:p>
    <w:p>
      <w:pPr>
        <w:spacing w:after="160"/>
        <w:jc w:val="both"/>
      </w:pPr>
      <w:r>
        <w:rPr>
          <w:b w:val="false"/>
          <w:bCs w:val="false"/>
          <w:i w:val="false"/>
          <w:iCs w:val="false"/>
        </w:rPr>
        <w:t xml:space="preserve">Ces formulations restent des propositions de travail : le porteur reste libre de les reformuler: elles doivent avant tout rester cohérentes avec l'UVP retenue en Phase 1 (« Nous diagnostiquons avant de réparer »).</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III. Analyse de marché </w:t>
      </w:r>
      <w:r>
        <w:rPr>
          <w:b w:val="false"/>
          <w:bCs w:val="false"/>
          <w:i/>
          <w:iCs/>
        </w:rPr>
        <w:t xml:space="preserve">(points 4–9)</w:t>
      </w:r>
    </w:p>
    <w:p>
      <w:pPr>
        <w:pStyle w:val="Heading3"/>
        <w:spacing w:after="120" w:before="240"/>
      </w:pPr>
      <w:r>
        <w:rPr>
          <w:b w:val="false"/>
          <w:bCs w:val="false"/>
          <w:i w:val="false"/>
          <w:iCs w:val="false"/>
        </w:rPr>
        <w:t xml:space="preserve">1. Marché automobile malien — ce qui est vérifié, ce qui doit être vérifié</w:t>
      </w:r>
    </w:p>
    <w:p>
      <w:pPr>
        <w:spacing w:after="160"/>
        <w:jc w:val="both"/>
      </w:pPr>
      <w:r>
        <w:rPr>
          <w:b w:val="false"/>
          <w:bCs w:val="false"/>
          <w:i w:val="false"/>
          <w:iCs w:val="false"/>
        </w:rPr>
        <w:t xml:space="preserve">Le Mali ne publie pas, à notre connaissance, de statistique consolidée et récente et publiquement accessible du parc automobile national comparable à celle disponible pour d'autres pays de la région — </w:t>
      </w:r>
      <w:r>
        <w:rPr>
          <w:b/>
          <w:bCs/>
          <w:i w:val="false"/>
          <w:iCs w:val="false"/>
        </w:rPr>
        <w:t xml:space="preserve">DONNÉE DE VOLUME DU PARC MALIEN À VALIDER SUR LE TERRAIN</w:t>
      </w:r>
      <w:r>
        <w:rPr>
          <w:b w:val="false"/>
          <w:bCs w:val="false"/>
          <w:i w:val="false"/>
          <w:iCs w:val="false"/>
        </w:rPr>
        <w:t xml:space="preserve"> (auprès de la Direction Nationale des Transports, de l'API-Mali, ou des professionnels du secteur). Ce qui est en revanche établi :</w:t>
      </w:r>
    </w:p>
    <w:p>
      <w:pPr>
        <w:pStyle w:val="ListParagraph"/>
        <w:numPr>
          <w:ilvl w:val="0"/>
          <w:numId w:val="2"/>
        </w:numPr>
        <w:spacing w:after="90"/>
      </w:pPr>
      <w:r>
        <w:rPr>
          <w:b w:val="false"/>
          <w:bCs w:val="false"/>
          <w:i w:val="false"/>
          <w:iCs w:val="false"/>
        </w:rPr>
        <w:t xml:space="preserve">Le parc roulant bamakois est structurellement dominé par l'occasion importée (Europe, en partie via les ports voisins), avec une forte proportion de véhicules de génération 2000–2015, cohérente avec la cible technique retenue par CHICANO.</w:t>
      </w:r>
    </w:p>
    <w:p>
      <w:pPr>
        <w:pStyle w:val="ListParagraph"/>
        <w:numPr>
          <w:ilvl w:val="0"/>
          <w:numId w:val="2"/>
        </w:numPr>
        <w:spacing w:after="90"/>
      </w:pPr>
      <w:r>
        <w:rPr>
          <w:b w:val="false"/>
          <w:bCs w:val="false"/>
          <w:i w:val="false"/>
          <w:iCs w:val="false"/>
        </w:rPr>
        <w:t xml:space="preserve">La visite technique obligatoire (tous véhicules, sauf présidence et armée) est administrée en monopole par Mali Technic System, avec une première visite trois ans après la première mise en circulation — un point réglementaire déjà signalé en Phase 1, qui structure une partie du calendrier d'entretien des véhicules maliens et peut être utilisé comme point d'ancrage commercial (« préparez votre visite technique avec nous ») sans jamais se substituer au service public.</w:t>
      </w:r>
    </w:p>
    <w:p>
      <w:pPr>
        <w:pStyle w:val="ListParagraph"/>
        <w:numPr>
          <w:ilvl w:val="0"/>
          <w:numId w:val="2"/>
        </w:numPr>
        <w:spacing w:after="90"/>
      </w:pPr>
      <w:r>
        <w:rPr>
          <w:b w:val="false"/>
          <w:bCs w:val="false"/>
          <w:i w:val="false"/>
          <w:iCs w:val="false"/>
        </w:rPr>
        <w:t xml:space="preserve">Un tissu de garages, concessionnaires, vendeurs de pièces et centres de contrôle technique existe déjà et est référencé sur les annuaires professionnels locaux (Go Africa Online notamment), preuve d'un marché actif mais fragmenté, sans acteur dominant clairement identifié sur le créneau spécifique du diagnostic instrumenté documenté.</w:t>
      </w:r>
    </w:p>
    <w:p>
      <w:pPr>
        <w:pStyle w:val="Heading3"/>
        <w:spacing w:after="120" w:before="240"/>
      </w:pPr>
      <w:r>
        <w:rPr>
          <w:b w:val="false"/>
          <w:bCs w:val="false"/>
          <w:i w:val="false"/>
          <w:iCs w:val="false"/>
        </w:rPr>
        <w:t xml:space="preserve">2. Analyse de la demande</w:t>
      </w:r>
    </w:p>
    <w:p>
      <w:pPr>
        <w:spacing w:after="160"/>
        <w:jc w:val="both"/>
      </w:pPr>
      <w:r>
        <w:rPr>
          <w:b w:val="false"/>
          <w:bCs w:val="false"/>
          <w:i w:val="false"/>
          <w:iCs w:val="false"/>
        </w:rPr>
        <w:t xml:space="preserve">La demande de réparation/entretien automobile est une demande de nécessité, peu élastique au marketing mais très sensible à la confiance et au bouche-à-oreille. Trois signaux de demande sont exploitables sans étude terrain supplémentaire :</w:t>
      </w:r>
    </w:p>
    <w:p>
      <w:pPr>
        <w:pStyle w:val="ListParagraph"/>
        <w:numPr>
          <w:ilvl w:val="0"/>
          <w:numId w:val="2"/>
        </w:numPr>
        <w:spacing w:after="90"/>
      </w:pPr>
      <w:r>
        <w:rPr>
          <w:b w:val="false"/>
          <w:bCs w:val="false"/>
          <w:i w:val="false"/>
          <w:iCs w:val="false"/>
        </w:rPr>
        <w:t xml:space="preserve">La crise énergétique malienne pousse mécaniquement les ménages et entreprises à faire durer leurs véhicules plus longtemps plutôt qu'à en acheter de neufs (un parc qui vieillit consomme plus de services de maintenance).</w:t>
      </w:r>
    </w:p>
    <w:p>
      <w:pPr>
        <w:pStyle w:val="ListParagraph"/>
        <w:numPr>
          <w:ilvl w:val="0"/>
          <w:numId w:val="2"/>
        </w:numPr>
        <w:spacing w:after="90"/>
      </w:pPr>
      <w:r>
        <w:rPr>
          <w:b w:val="false"/>
          <w:bCs w:val="false"/>
          <w:i w:val="false"/>
          <w:iCs w:val="false"/>
        </w:rPr>
        <w:t xml:space="preserve">La hausse récente et significative des prix du carburant (gasoil à 940 FCFA/litre et essence à 875 FCFA/litre depuis fin mars 2026, en hausse de 29 % et 13 %) renchérit le coût d'usage d'un véhicule et rend chaque panne évitable plus coûteuse à tolérer — un argument commercial direct pour l'entretien préventif.</w:t>
      </w:r>
    </w:p>
    <w:p>
      <w:pPr>
        <w:pStyle w:val="ListParagraph"/>
        <w:numPr>
          <w:ilvl w:val="0"/>
          <w:numId w:val="2"/>
        </w:numPr>
        <w:spacing w:after="90"/>
      </w:pPr>
      <w:r>
        <w:rPr>
          <w:b w:val="false"/>
          <w:bCs w:val="false"/>
          <w:i w:val="false"/>
          <w:iCs w:val="false"/>
        </w:rPr>
        <w:t xml:space="preserve">La pénétration internet mobile croissante (35 % environ début 2025, majoritairement via mobile, avec WhatsApp dominant) rend crédible un canal de prise de rendez-vous et de suivi digital léger, sans nécessiter d'application propriétaire.</w:t>
      </w:r>
    </w:p>
    <w:p>
      <w:pPr>
        <w:pStyle w:val="Heading3"/>
        <w:spacing w:after="120" w:before="240"/>
      </w:pPr>
      <w:r>
        <w:rPr>
          <w:b w:val="false"/>
          <w:bCs w:val="false"/>
          <w:i w:val="false"/>
          <w:iCs w:val="false"/>
        </w:rPr>
        <w:t xml:space="preserve">3. Segmentation — synthèse (détail en Lean Canvas 2.2)</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51"/>
        <w:gridCol w:w="3537"/>
        <w:gridCol w:w="2817"/>
        <w:gridCol w:w="3793"/>
      </w:tblGrid>
      <w:tr>
        <w:trPr>
          <w:tblHeader/>
        </w:trPr>
        <w:tc>
          <w:tcPr>
            <w:tcW w:type="dxa" w:w="5251"/>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Segment</w:t>
            </w:r>
          </w:p>
        </w:tc>
        <w:tc>
          <w:tcPr>
            <w:tcW w:type="dxa" w:w="3537"/>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Poids stratégique</w:t>
            </w:r>
          </w:p>
        </w:tc>
        <w:tc>
          <w:tcPr>
            <w:tcW w:type="dxa" w:w="2817"/>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Sensibilité prix</w:t>
            </w:r>
          </w:p>
        </w:tc>
        <w:tc>
          <w:tcPr>
            <w:tcW w:type="dxa" w:w="3793"/>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Récurrence</w:t>
            </w:r>
          </w:p>
        </w:tc>
      </w:tr>
      <w:tr>
        <w:tc>
          <w:tcPr>
            <w:tcW w:type="dxa" w:w="5251"/>
            <w:tcMar>
              <w:top w:type="dxa" w:w="60"/>
              <w:left w:type="dxa" w:w="100"/>
              <w:bottom w:type="dxa" w:w="60"/>
              <w:right w:type="dxa" w:w="100"/>
            </w:tcMar>
          </w:tcPr>
          <w:p>
            <w:pPr>
              <w:spacing w:after="0"/>
            </w:pPr>
            <w:r>
              <w:rPr>
                <w:b w:val="false"/>
                <w:bCs w:val="false"/>
                <w:i w:val="false"/>
                <w:iCs w:val="false"/>
                <w:sz w:val="17"/>
                <w:szCs w:val="17"/>
              </w:rPr>
              <w:t xml:space="preserve">Flottes B2B (ONG, entreprises 5–50 véhicules)</w:t>
            </w:r>
          </w:p>
        </w:tc>
        <w:tc>
          <w:tcPr>
            <w:tcW w:type="dxa" w:w="3537"/>
            <w:tcMar>
              <w:top w:type="dxa" w:w="60"/>
              <w:left w:type="dxa" w:w="100"/>
              <w:bottom w:type="dxa" w:w="60"/>
              <w:right w:type="dxa" w:w="100"/>
            </w:tcMar>
          </w:tcPr>
          <w:p>
            <w:pPr>
              <w:spacing w:after="0"/>
            </w:pPr>
            <w:r>
              <w:rPr>
                <w:b w:val="false"/>
                <w:bCs w:val="false"/>
                <w:i w:val="false"/>
                <w:iCs w:val="false"/>
                <w:sz w:val="17"/>
                <w:szCs w:val="17"/>
              </w:rPr>
              <w:t xml:space="preserve">Prioritaire</w:t>
            </w:r>
          </w:p>
        </w:tc>
        <w:tc>
          <w:tcPr>
            <w:tcW w:type="dxa" w:w="2817"/>
            <w:tcMar>
              <w:top w:type="dxa" w:w="60"/>
              <w:left w:type="dxa" w:w="100"/>
              <w:bottom w:type="dxa" w:w="60"/>
              <w:right w:type="dxa" w:w="100"/>
            </w:tcMar>
          </w:tcPr>
          <w:p>
            <w:pPr>
              <w:spacing w:after="0"/>
            </w:pPr>
            <w:r>
              <w:rPr>
                <w:b w:val="false"/>
                <w:bCs w:val="false"/>
                <w:i w:val="false"/>
                <w:iCs w:val="false"/>
                <w:sz w:val="17"/>
                <w:szCs w:val="17"/>
              </w:rPr>
              <w:t xml:space="preserve">Faible à moyenne</w:t>
            </w:r>
          </w:p>
        </w:tc>
        <w:tc>
          <w:tcPr>
            <w:tcW w:type="dxa" w:w="3793"/>
            <w:tcMar>
              <w:top w:type="dxa" w:w="60"/>
              <w:left w:type="dxa" w:w="100"/>
              <w:bottom w:type="dxa" w:w="60"/>
              <w:right w:type="dxa" w:w="100"/>
            </w:tcMar>
          </w:tcPr>
          <w:p>
            <w:pPr>
              <w:spacing w:after="0"/>
            </w:pPr>
            <w:r>
              <w:rPr>
                <w:b w:val="false"/>
                <w:bCs w:val="false"/>
                <w:i w:val="false"/>
                <w:iCs w:val="false"/>
                <w:sz w:val="17"/>
                <w:szCs w:val="17"/>
              </w:rPr>
              <w:t xml:space="preserve">Haute (contractualisable)</w:t>
            </w:r>
          </w:p>
        </w:tc>
      </w:tr>
      <w:tr>
        <w:tc>
          <w:tcPr>
            <w:tcW w:type="dxa" w:w="525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Acheteurs d'occasion (expertise avant achat)</w:t>
            </w:r>
          </w:p>
        </w:tc>
        <w:tc>
          <w:tcPr>
            <w:tcW w:type="dxa" w:w="3537"/>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Prioritaire, ponctuel</w:t>
            </w:r>
          </w:p>
        </w:tc>
        <w:tc>
          <w:tcPr>
            <w:tcW w:type="dxa" w:w="2817"/>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Moyenne</w:t>
            </w:r>
          </w:p>
        </w:tc>
        <w:tc>
          <w:tcPr>
            <w:tcW w:type="dxa" w:w="3793"/>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Ponctuelle mais prescriptrice</w:t>
            </w:r>
          </w:p>
        </w:tc>
      </w:tr>
      <w:tr>
        <w:tc>
          <w:tcPr>
            <w:tcW w:type="dxa" w:w="5251"/>
            <w:tcMar>
              <w:top w:type="dxa" w:w="60"/>
              <w:left w:type="dxa" w:w="100"/>
              <w:bottom w:type="dxa" w:w="60"/>
              <w:right w:type="dxa" w:w="100"/>
            </w:tcMar>
          </w:tcPr>
          <w:p>
            <w:pPr>
              <w:spacing w:after="0"/>
            </w:pPr>
            <w:r>
              <w:rPr>
                <w:b w:val="false"/>
                <w:bCs w:val="false"/>
                <w:i w:val="false"/>
                <w:iCs w:val="false"/>
                <w:sz w:val="17"/>
                <w:szCs w:val="17"/>
              </w:rPr>
              <w:t xml:space="preserve">Particuliers berline/SUV récents</w:t>
            </w:r>
          </w:p>
        </w:tc>
        <w:tc>
          <w:tcPr>
            <w:tcW w:type="dxa" w:w="3537"/>
            <w:tcMar>
              <w:top w:type="dxa" w:w="60"/>
              <w:left w:type="dxa" w:w="100"/>
              <w:bottom w:type="dxa" w:w="60"/>
              <w:right w:type="dxa" w:w="100"/>
            </w:tcMar>
          </w:tcPr>
          <w:p>
            <w:pPr>
              <w:spacing w:after="0"/>
            </w:pPr>
            <w:r>
              <w:rPr>
                <w:b w:val="false"/>
                <w:bCs w:val="false"/>
                <w:i w:val="false"/>
                <w:iCs w:val="false"/>
                <w:sz w:val="17"/>
                <w:szCs w:val="17"/>
              </w:rPr>
              <w:t xml:space="preserve">Secondaire structurant</w:t>
            </w:r>
          </w:p>
        </w:tc>
        <w:tc>
          <w:tcPr>
            <w:tcW w:type="dxa" w:w="2817"/>
            <w:tcMar>
              <w:top w:type="dxa" w:w="60"/>
              <w:left w:type="dxa" w:w="100"/>
              <w:bottom w:type="dxa" w:w="60"/>
              <w:right w:type="dxa" w:w="100"/>
            </w:tcMar>
          </w:tcPr>
          <w:p>
            <w:pPr>
              <w:spacing w:after="0"/>
            </w:pPr>
            <w:r>
              <w:rPr>
                <w:b w:val="false"/>
                <w:bCs w:val="false"/>
                <w:i w:val="false"/>
                <w:iCs w:val="false"/>
                <w:sz w:val="17"/>
                <w:szCs w:val="17"/>
              </w:rPr>
              <w:t xml:space="preserve">Moyenne</w:t>
            </w:r>
          </w:p>
        </w:tc>
        <w:tc>
          <w:tcPr>
            <w:tcW w:type="dxa" w:w="3793"/>
            <w:tcMar>
              <w:top w:type="dxa" w:w="60"/>
              <w:left w:type="dxa" w:w="100"/>
              <w:bottom w:type="dxa" w:w="60"/>
              <w:right w:type="dxa" w:w="100"/>
            </w:tcMar>
          </w:tcPr>
          <w:p>
            <w:pPr>
              <w:spacing w:after="0"/>
            </w:pPr>
            <w:r>
              <w:rPr>
                <w:b w:val="false"/>
                <w:bCs w:val="false"/>
                <w:i w:val="false"/>
                <w:iCs w:val="false"/>
                <w:sz w:val="17"/>
                <w:szCs w:val="17"/>
              </w:rPr>
              <w:t xml:space="preserve">Moyenne</w:t>
            </w:r>
          </w:p>
        </w:tc>
      </w:tr>
      <w:tr>
        <w:tc>
          <w:tcPr>
            <w:tcW w:type="dxa" w:w="525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Chauffeurs professionnels indépendants</w:t>
            </w:r>
          </w:p>
        </w:tc>
        <w:tc>
          <w:tcPr>
            <w:tcW w:type="dxa" w:w="3537"/>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Secondaire</w:t>
            </w:r>
          </w:p>
        </w:tc>
        <w:tc>
          <w:tcPr>
            <w:tcW w:type="dxa" w:w="2817"/>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Haute</w:t>
            </w:r>
          </w:p>
        </w:tc>
        <w:tc>
          <w:tcPr>
            <w:tcW w:type="dxa" w:w="3793"/>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Moyenne à haute</w:t>
            </w:r>
          </w:p>
        </w:tc>
      </w:tr>
      <w:tr>
        <w:tc>
          <w:tcPr>
            <w:tcW w:type="dxa" w:w="5251"/>
            <w:tcMar>
              <w:top w:type="dxa" w:w="60"/>
              <w:left w:type="dxa" w:w="100"/>
              <w:bottom w:type="dxa" w:w="60"/>
              <w:right w:type="dxa" w:w="100"/>
            </w:tcMar>
          </w:tcPr>
          <w:p>
            <w:pPr>
              <w:spacing w:after="0"/>
            </w:pPr>
            <w:r>
              <w:rPr>
                <w:b w:val="false"/>
                <w:bCs w:val="false"/>
                <w:i w:val="false"/>
                <w:iCs w:val="false"/>
                <w:sz w:val="17"/>
                <w:szCs w:val="17"/>
              </w:rPr>
              <w:t xml:space="preserve">Concessionnaires/vendeurs (partenariat)</w:t>
            </w:r>
          </w:p>
        </w:tc>
        <w:tc>
          <w:tcPr>
            <w:tcW w:type="dxa" w:w="3537"/>
            <w:tcMar>
              <w:top w:type="dxa" w:w="60"/>
              <w:left w:type="dxa" w:w="100"/>
              <w:bottom w:type="dxa" w:w="60"/>
              <w:right w:type="dxa" w:w="100"/>
            </w:tcMar>
          </w:tcPr>
          <w:p>
            <w:pPr>
              <w:spacing w:after="0"/>
            </w:pPr>
            <w:r>
              <w:rPr>
                <w:b w:val="false"/>
                <w:bCs w:val="false"/>
                <w:i w:val="false"/>
                <w:iCs w:val="false"/>
                <w:sz w:val="17"/>
                <w:szCs w:val="17"/>
              </w:rPr>
              <w:t xml:space="preserve">Opportuniste</w:t>
            </w:r>
          </w:p>
        </w:tc>
        <w:tc>
          <w:tcPr>
            <w:tcW w:type="dxa" w:w="2817"/>
            <w:tcMar>
              <w:top w:type="dxa" w:w="60"/>
              <w:left w:type="dxa" w:w="100"/>
              <w:bottom w:type="dxa" w:w="60"/>
              <w:right w:type="dxa" w:w="100"/>
            </w:tcMar>
          </w:tcPr>
          <w:p>
            <w:pPr>
              <w:spacing w:after="0"/>
            </w:pPr>
            <w:r>
              <w:rPr>
                <w:b w:val="false"/>
                <w:bCs w:val="false"/>
                <w:i w:val="false"/>
                <w:iCs w:val="false"/>
                <w:sz w:val="17"/>
                <w:szCs w:val="17"/>
              </w:rPr>
              <w:t xml:space="preserve">Négociée</w:t>
            </w:r>
          </w:p>
        </w:tc>
        <w:tc>
          <w:tcPr>
            <w:tcW w:type="dxa" w:w="3793"/>
            <w:tcMar>
              <w:top w:type="dxa" w:w="60"/>
              <w:left w:type="dxa" w:w="100"/>
              <w:bottom w:type="dxa" w:w="60"/>
              <w:right w:type="dxa" w:w="100"/>
            </w:tcMar>
          </w:tcPr>
          <w:p>
            <w:pPr>
              <w:spacing w:after="0"/>
            </w:pPr>
            <w:r>
              <w:rPr>
                <w:b w:val="false"/>
                <w:bCs w:val="false"/>
                <w:i w:val="false"/>
                <w:iCs w:val="false"/>
                <w:sz w:val="17"/>
                <w:szCs w:val="17"/>
              </w:rPr>
              <w:t xml:space="preserve">Haute si accord-cadre</w:t>
            </w:r>
          </w:p>
        </w:tc>
      </w:tr>
    </w:tbl>
    <w:p>
      <w:pPr>
        <w:spacing w:after="200"/>
      </w:pPr>
    </w:p>
    <w:p>
      <w:pPr>
        <w:pStyle w:val="Heading3"/>
        <w:spacing w:after="120" w:before="240"/>
      </w:pPr>
      <w:r>
        <w:rPr>
          <w:b w:val="false"/>
          <w:bCs w:val="false"/>
          <w:i w:val="false"/>
          <w:iCs w:val="false"/>
        </w:rPr>
        <w:t xml:space="preserve">4. Personas (détail en Lean Canvas section 3)</w:t>
      </w:r>
    </w:p>
    <w:p>
      <w:pPr>
        <w:spacing w:after="160"/>
        <w:jc w:val="both"/>
      </w:pPr>
      <w:r>
        <w:rPr>
          <w:b w:val="false"/>
          <w:bCs w:val="false"/>
          <w:i w:val="false"/>
          <w:iCs w:val="false"/>
        </w:rPr>
        <w:t xml:space="preserve">Rappel synthétique : « le gestionnaire de flotte prudent », « l'acheteur d'occasion méfiant », « le propriétaire pressé ». Ces trois personas doivent guider la rédaction des messages commerciaux différenciés dès la section IX (marketing).</w:t>
      </w:r>
    </w:p>
    <w:p>
      <w:pPr>
        <w:pStyle w:val="Heading3"/>
        <w:spacing w:after="120" w:before="240"/>
      </w:pPr>
      <w:r>
        <w:rPr>
          <w:b w:val="false"/>
          <w:bCs w:val="false"/>
          <w:i w:val="false"/>
          <w:iCs w:val="false"/>
        </w:rPr>
        <w:t xml:space="preserve">5. Analyse concurrentielle et positionnement</w:t>
      </w:r>
    </w:p>
    <w:p>
      <w:pPr>
        <w:spacing w:after="160"/>
        <w:jc w:val="both"/>
      </w:pPr>
      <w:r>
        <w:rPr>
          <w:b w:val="false"/>
          <w:bCs w:val="false"/>
          <w:i w:val="false"/>
          <w:iCs w:val="false"/>
        </w:rPr>
        <w:t xml:space="preserve">Le concurrent structuré le plus proche identifié à ce stade est </w:t>
      </w:r>
      <w:r>
        <w:rPr>
          <w:b/>
          <w:bCs/>
          <w:i w:val="false"/>
          <w:iCs w:val="false"/>
        </w:rPr>
        <w:t xml:space="preserve">Auto Center Mali</w:t>
      </w:r>
      <w:r>
        <w:rPr>
          <w:b w:val="false"/>
          <w:bCs w:val="false"/>
          <w:i w:val="false"/>
          <w:iCs w:val="false"/>
        </w:rPr>
        <w:t xml:space="preserve">, qui communique déjà sur une offre large (diagnostic, vidange, freinage, distribution, climatisation) avec plusieurs implantations et livraison de pièces. D'autres acteurs référencés (garages indépendants, concessionnaires multimarques, vendeurs de véhicules comme EasyCars Mali) opèrent sur des segments adjacents sans revendiquer le même positionnement « diagnostic avant réparation ». </w:t>
      </w:r>
      <w:r>
        <w:rPr>
          <w:b/>
          <w:bCs/>
          <w:i w:val="false"/>
          <w:iCs w:val="false"/>
        </w:rPr>
        <w:t xml:space="preserve">Une cartographie précise des tarifs et de l'offre réelle d'Auto Center Mali et de deux ou trois garages de référence de la place doit être réalisée sur le terrain avant la fixation des prix (section IV.3) — DONNÉE À VALIDER.</w:t>
      </w:r>
    </w:p>
    <w:p>
      <w:pPr>
        <w:spacing w:after="160"/>
        <w:jc w:val="both"/>
      </w:pPr>
      <w:r>
        <w:rPr>
          <w:b w:val="false"/>
          <w:bCs w:val="false"/>
          <w:i w:val="false"/>
          <w:iCs w:val="false"/>
        </w:rPr>
        <w:t xml:space="preserve">Le positionnement retenu — centre de diagnostic, maintenance et assistance automobile, structuré autour de la preuve documentée — reste, sous cette réserve, le point d'intersection le moins occupé identifié entre couverture multimarque accessible et diagnostic systématique prouvé (tableau comparatif complet en Lean Canvas section 11).</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IV. Offre et modèle de service </w:t>
      </w:r>
      <w:r>
        <w:rPr>
          <w:b w:val="false"/>
          <w:bCs w:val="false"/>
          <w:i/>
          <w:iCs/>
        </w:rPr>
        <w:t xml:space="preserve">(points 10–12)</w:t>
      </w:r>
    </w:p>
    <w:p>
      <w:pPr>
        <w:pStyle w:val="Heading3"/>
        <w:spacing w:after="120" w:before="240"/>
      </w:pPr>
      <w:r>
        <w:rPr>
          <w:b w:val="false"/>
          <w:bCs w:val="false"/>
          <w:i w:val="false"/>
          <w:iCs w:val="false"/>
        </w:rPr>
        <w:t xml:space="preserve">1. Offre de services</w:t>
      </w:r>
    </w:p>
    <w:p>
      <w:pPr>
        <w:spacing w:after="160"/>
        <w:jc w:val="both"/>
      </w:pPr>
      <w:r>
        <w:rPr>
          <w:b w:val="false"/>
          <w:bCs w:val="false"/>
          <w:i w:val="false"/>
          <w:iCs w:val="false"/>
        </w:rPr>
        <w:t xml:space="preserve">Catalogue repris du Lean Canvas (section 5), organisé en huit familles : diagnostic, mécanique, électricité, électronique, clés, expertise, assistance, gestion. Pour la Phase 1 de lancement (MVP commercial), l'offre active doit se limiter à : diagnostic + rapport écrit (porte d'entrée systématique), mécanique courante, électricité de base, expertise avant achat. Les familles clés/programmation avancée et diagnostic hybride/EV restent en catalogue mais ne sont pas mises en avant commercialement tant que la demande n'est pas confirmée.</w:t>
      </w:r>
    </w:p>
    <w:p>
      <w:pPr>
        <w:pStyle w:val="Heading3"/>
        <w:spacing w:after="120" w:before="240"/>
      </w:pPr>
      <w:r>
        <w:rPr>
          <w:b w:val="false"/>
          <w:bCs w:val="false"/>
          <w:i w:val="false"/>
          <w:iCs w:val="false"/>
        </w:rPr>
        <w:t xml:space="preserve">2. Architecture des prestations</w:t>
      </w:r>
    </w:p>
    <w:p>
      <w:pPr>
        <w:spacing w:after="160"/>
        <w:jc w:val="both"/>
      </w:pPr>
      <w:r>
        <w:rPr>
          <w:b w:val="false"/>
          <w:bCs w:val="false"/>
          <w:i w:val="false"/>
          <w:iCs w:val="false"/>
        </w:rPr>
        <w:t xml:space="preserve">Chaque prestation suit la même architecture en trois temps, quel que soit le service : </w:t>
      </w:r>
      <w:r>
        <w:rPr>
          <w:b/>
          <w:bCs/>
          <w:i w:val="false"/>
          <w:iCs w:val="false"/>
        </w:rPr>
        <w:t xml:space="preserve">diagnostic</w:t>
      </w:r>
      <w:r>
        <w:rPr>
          <w:b w:val="false"/>
          <w:bCs w:val="false"/>
          <w:i w:val="false"/>
          <w:iCs w:val="false"/>
        </w:rPr>
        <w:t xml:space="preserve"> (toujours, même bref pour un entretien courant programmé) → </w:t>
      </w:r>
      <w:r>
        <w:rPr>
          <w:b/>
          <w:bCs/>
          <w:i w:val="false"/>
          <w:iCs w:val="false"/>
        </w:rPr>
        <w:t xml:space="preserve">rapport</w:t>
      </w:r>
      <w:r>
        <w:rPr>
          <w:b w:val="false"/>
          <w:bCs w:val="false"/>
          <w:i w:val="false"/>
          <w:iCs w:val="false"/>
        </w:rPr>
        <w:t xml:space="preserve"> (écrit, même simplifié) → </w:t>
      </w:r>
      <w:r>
        <w:rPr>
          <w:b/>
          <w:bCs/>
          <w:i w:val="false"/>
          <w:iCs w:val="false"/>
        </w:rPr>
        <w:t xml:space="preserve">devis et validation client</w:t>
      </w:r>
      <w:r>
        <w:rPr>
          <w:b w:val="false"/>
          <w:bCs w:val="false"/>
          <w:i w:val="false"/>
          <w:iCs w:val="false"/>
        </w:rPr>
        <w:t xml:space="preserve"> avant toute intervention. Cette architecture est le cœur opérationnel de la promesse de marque ; elle doit être appliquée sans exception, y compris pour les prestations les plus simples (vidange), sous peine de vider la promesse de son sens aux yeux des clients qui reviennent pour des services variés.</w:t>
      </w:r>
    </w:p>
    <w:p>
      <w:pPr>
        <w:pStyle w:val="Heading3"/>
        <w:spacing w:after="120" w:before="240"/>
      </w:pPr>
      <w:r>
        <w:rPr>
          <w:b w:val="false"/>
          <w:bCs w:val="false"/>
          <w:i w:val="false"/>
          <w:iCs w:val="false"/>
        </w:rPr>
        <w:t xml:space="preserve">3. Politique tarifaire</w:t>
      </w:r>
    </w:p>
    <w:p>
      <w:pPr>
        <w:spacing w:after="160"/>
        <w:jc w:val="both"/>
      </w:pPr>
      <w:r>
        <w:rPr>
          <w:b w:val="false"/>
          <w:bCs w:val="false"/>
          <w:i w:val="false"/>
          <w:iCs w:val="false"/>
        </w:rPr>
        <w:t xml:space="preserve">Aucun prix définitif ne peut être fixé dans ce document sans données de marché vérifiées (tarifs concurrents, panier moyen réel des ménages/entreprises bamakoises). Le cadre de travail proposé, à valider :</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71"/>
        <w:gridCol w:w="7052"/>
        <w:gridCol w:w="5075"/>
      </w:tblGrid>
      <w:tr>
        <w:trPr>
          <w:tblHeader/>
        </w:trPr>
        <w:tc>
          <w:tcPr>
            <w:tcW w:type="dxa" w:w="3271"/>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Prestation</w:t>
            </w:r>
          </w:p>
        </w:tc>
        <w:tc>
          <w:tcPr>
            <w:tcW w:type="dxa" w:w="7052"/>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Logique tarifaire proposée</w:t>
            </w:r>
          </w:p>
        </w:tc>
        <w:tc>
          <w:tcPr>
            <w:tcW w:type="dxa" w:w="5075"/>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Statut</w:t>
            </w:r>
          </w:p>
        </w:tc>
      </w:tr>
      <w:tr>
        <w:tc>
          <w:tcPr>
            <w:tcW w:type="dxa" w:w="3271"/>
            <w:tcMar>
              <w:top w:type="dxa" w:w="60"/>
              <w:left w:type="dxa" w:w="100"/>
              <w:bottom w:type="dxa" w:w="60"/>
              <w:right w:type="dxa" w:w="100"/>
            </w:tcMar>
          </w:tcPr>
          <w:p>
            <w:pPr>
              <w:spacing w:after="0"/>
            </w:pPr>
            <w:r>
              <w:rPr>
                <w:b w:val="false"/>
                <w:bCs w:val="false"/>
                <w:i w:val="false"/>
                <w:iCs w:val="false"/>
                <w:sz w:val="17"/>
                <w:szCs w:val="17"/>
              </w:rPr>
              <w:t xml:space="preserve">Diagnostic seul</w:t>
            </w:r>
          </w:p>
        </w:tc>
        <w:tc>
          <w:tcPr>
            <w:tcW w:type="dxa" w:w="7052"/>
            <w:tcMar>
              <w:top w:type="dxa" w:w="60"/>
              <w:left w:type="dxa" w:w="100"/>
              <w:bottom w:type="dxa" w:w="60"/>
              <w:right w:type="dxa" w:w="100"/>
            </w:tcMar>
          </w:tcPr>
          <w:p>
            <w:pPr>
              <w:spacing w:after="0"/>
            </w:pPr>
            <w:r>
              <w:rPr>
                <w:b w:val="false"/>
                <w:bCs w:val="false"/>
                <w:i w:val="false"/>
                <w:iCs w:val="false"/>
                <w:sz w:val="17"/>
                <w:szCs w:val="17"/>
              </w:rPr>
              <w:t xml:space="preserve">Prix fixe, affiché, indépendant de la réparation</w:t>
            </w:r>
          </w:p>
        </w:tc>
        <w:tc>
          <w:tcPr>
            <w:tcW w:type="dxa" w:w="5075"/>
            <w:tcMar>
              <w:top w:type="dxa" w:w="60"/>
              <w:left w:type="dxa" w:w="100"/>
              <w:bottom w:type="dxa" w:w="60"/>
              <w:right w:type="dxa" w:w="100"/>
            </w:tcMar>
          </w:tcPr>
          <w:p>
            <w:pPr>
              <w:spacing w:after="0"/>
            </w:pPr>
            <w:r>
              <w:rPr>
                <w:b w:val="false"/>
                <w:bCs w:val="false"/>
                <w:i w:val="false"/>
                <w:iCs w:val="false"/>
                <w:sz w:val="17"/>
                <w:szCs w:val="17"/>
              </w:rPr>
              <w:t xml:space="preserve">À tester en priorité (hypothèse critique n°1 du Lean Canvas)</w:t>
            </w:r>
          </w:p>
        </w:tc>
      </w:tr>
      <w:tr>
        <w:tc>
          <w:tcPr>
            <w:tcW w:type="dxa" w:w="327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Diagnostic + réparation</w:t>
            </w:r>
          </w:p>
        </w:tc>
        <w:tc>
          <w:tcPr>
            <w:tcW w:type="dxa" w:w="705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Diagnostic parfois offert ou minoré si réparation réalisée dans la foulée, en phase de lancement uniquement, pour lever la barrière psychologique du diagnostic payant</w:t>
            </w:r>
          </w:p>
        </w:tc>
        <w:tc>
          <w:tcPr>
            <w:tcW w:type="dxa" w:w="507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Hypothèse de lancement, à réévaluer après 2-3 mois</w:t>
            </w:r>
          </w:p>
        </w:tc>
      </w:tr>
      <w:tr>
        <w:tc>
          <w:tcPr>
            <w:tcW w:type="dxa" w:w="3271"/>
            <w:tcMar>
              <w:top w:type="dxa" w:w="60"/>
              <w:left w:type="dxa" w:w="100"/>
              <w:bottom w:type="dxa" w:w="60"/>
              <w:right w:type="dxa" w:w="100"/>
            </w:tcMar>
          </w:tcPr>
          <w:p>
            <w:pPr>
              <w:spacing w:after="0"/>
            </w:pPr>
            <w:r>
              <w:rPr>
                <w:b w:val="false"/>
                <w:bCs w:val="false"/>
                <w:i w:val="false"/>
                <w:iCs w:val="false"/>
                <w:sz w:val="17"/>
                <w:szCs w:val="17"/>
              </w:rPr>
              <w:t xml:space="preserve">Expertise avant achat</w:t>
            </w:r>
          </w:p>
        </w:tc>
        <w:tc>
          <w:tcPr>
            <w:tcW w:type="dxa" w:w="7052"/>
            <w:tcMar>
              <w:top w:type="dxa" w:w="60"/>
              <w:left w:type="dxa" w:w="100"/>
              <w:bottom w:type="dxa" w:w="60"/>
              <w:right w:type="dxa" w:w="100"/>
            </w:tcMar>
          </w:tcPr>
          <w:p>
            <w:pPr>
              <w:spacing w:after="0"/>
            </w:pPr>
            <w:r>
              <w:rPr>
                <w:b w:val="false"/>
                <w:bCs w:val="false"/>
                <w:i w:val="false"/>
                <w:iCs w:val="false"/>
                <w:sz w:val="17"/>
                <w:szCs w:val="17"/>
              </w:rPr>
              <w:t xml:space="preserve">Prix fixe premium, supérieur au diagnostic courant, justifié par l'enjeu financier pour le client</w:t>
            </w:r>
          </w:p>
        </w:tc>
        <w:tc>
          <w:tcPr>
            <w:tcW w:type="dxa" w:w="5075"/>
            <w:tcMar>
              <w:top w:type="dxa" w:w="60"/>
              <w:left w:type="dxa" w:w="100"/>
              <w:bottom w:type="dxa" w:w="60"/>
              <w:right w:type="dxa" w:w="100"/>
            </w:tcMar>
          </w:tcPr>
          <w:p>
            <w:pPr>
              <w:spacing w:after="0"/>
            </w:pPr>
            <w:r>
              <w:rPr>
                <w:b w:val="false"/>
                <w:bCs w:val="false"/>
                <w:i w:val="false"/>
                <w:iCs w:val="false"/>
                <w:sz w:val="17"/>
                <w:szCs w:val="17"/>
              </w:rPr>
              <w:t xml:space="preserve">Fort potentiel, priorité de test</w:t>
            </w:r>
          </w:p>
        </w:tc>
      </w:tr>
      <w:tr>
        <w:tc>
          <w:tcPr>
            <w:tcW w:type="dxa" w:w="327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Réparation</w:t>
            </w:r>
          </w:p>
        </w:tc>
        <w:tc>
          <w:tcPr>
            <w:tcW w:type="dxa" w:w="705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Devis au cas par cas après diagnostic, pièces + main d'œuvre distinguées sur la facture</w:t>
            </w:r>
          </w:p>
        </w:tc>
        <w:tc>
          <w:tcPr>
            <w:tcW w:type="dxa" w:w="507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Standard du marché</w:t>
            </w:r>
          </w:p>
        </w:tc>
      </w:tr>
      <w:tr>
        <w:tc>
          <w:tcPr>
            <w:tcW w:type="dxa" w:w="3271"/>
            <w:tcMar>
              <w:top w:type="dxa" w:w="60"/>
              <w:left w:type="dxa" w:w="100"/>
              <w:bottom w:type="dxa" w:w="60"/>
              <w:right w:type="dxa" w:w="100"/>
            </w:tcMar>
          </w:tcPr>
          <w:p>
            <w:pPr>
              <w:spacing w:after="0"/>
            </w:pPr>
            <w:r>
              <w:rPr>
                <w:b w:val="false"/>
                <w:bCs w:val="false"/>
                <w:i w:val="false"/>
                <w:iCs w:val="false"/>
                <w:sz w:val="17"/>
                <w:szCs w:val="17"/>
              </w:rPr>
              <w:t xml:space="preserve">Intervention mobile/urgence</w:t>
            </w:r>
          </w:p>
        </w:tc>
        <w:tc>
          <w:tcPr>
            <w:tcW w:type="dxa" w:w="7052"/>
            <w:tcMar>
              <w:top w:type="dxa" w:w="60"/>
              <w:left w:type="dxa" w:w="100"/>
              <w:bottom w:type="dxa" w:w="60"/>
              <w:right w:type="dxa" w:w="100"/>
            </w:tcMar>
          </w:tcPr>
          <w:p>
            <w:pPr>
              <w:spacing w:after="0"/>
            </w:pPr>
            <w:r>
              <w:rPr>
                <w:b w:val="false"/>
                <w:bCs w:val="false"/>
                <w:i w:val="false"/>
                <w:iCs w:val="false"/>
                <w:sz w:val="17"/>
                <w:szCs w:val="17"/>
              </w:rPr>
              <w:t xml:space="preserve">Majoration forfaitaire couvrant déplacement et disponibilité</w:t>
            </w:r>
          </w:p>
        </w:tc>
        <w:tc>
          <w:tcPr>
            <w:tcW w:type="dxa" w:w="5075"/>
            <w:tcMar>
              <w:top w:type="dxa" w:w="60"/>
              <w:left w:type="dxa" w:w="100"/>
              <w:bottom w:type="dxa" w:w="60"/>
              <w:right w:type="dxa" w:w="100"/>
            </w:tcMar>
          </w:tcPr>
          <w:p>
            <w:pPr>
              <w:spacing w:after="0"/>
            </w:pPr>
            <w:r>
              <w:rPr>
                <w:b w:val="false"/>
                <w:bCs w:val="false"/>
                <w:i w:val="false"/>
                <w:iCs w:val="false"/>
                <w:sz w:val="17"/>
                <w:szCs w:val="17"/>
              </w:rPr>
              <w:t xml:space="preserve">À calibrer selon coût réel du service mobile (section VIII)</w:t>
            </w:r>
          </w:p>
        </w:tc>
      </w:tr>
      <w:tr>
        <w:tc>
          <w:tcPr>
            <w:tcW w:type="dxa" w:w="327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Contrats B2B flotte</w:t>
            </w:r>
          </w:p>
        </w:tc>
        <w:tc>
          <w:tcPr>
            <w:tcW w:type="dxa" w:w="705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Tarification dégressive au volume, forfait de suivi mensuel + tarif préférentiel à l'intervention</w:t>
            </w:r>
          </w:p>
        </w:tc>
        <w:tc>
          <w:tcPr>
            <w:tcW w:type="dxa" w:w="507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À construire avec les 2-3 premiers clients pilotes plutôt qu'imposé a priori</w:t>
            </w:r>
          </w:p>
        </w:tc>
      </w:tr>
    </w:tbl>
    <w:p>
      <w:pPr>
        <w:spacing w:after="200"/>
      </w:pPr>
    </w:p>
    <w:p>
      <w:pPr>
        <w:spacing w:after="160"/>
        <w:jc w:val="both"/>
      </w:pPr>
      <w:r>
        <w:rPr>
          <w:b/>
          <w:bCs/>
          <w:i w:val="false"/>
          <w:iCs w:val="false"/>
        </w:rPr>
        <w:t xml:space="preserve">Recommandation :</w:t>
      </w:r>
      <w:r>
        <w:rPr>
          <w:b w:val="false"/>
          <w:bCs w:val="false"/>
          <w:i w:val="false"/>
          <w:iCs w:val="false"/>
        </w:rPr>
        <w:t xml:space="preserve"> fixer les tout premiers prix par comparaison directe avec 3 à 5 concurrents réels sur des prestations identiques (vidange, diagnostic électronique simple), plutôt que par calcul de marge théorique seul — le marché malien de la réparation automobile a des repères de prix déjà installés dans l'esprit des clients, qu'il faut connaître avant de les contredire.</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V. Business Model </w:t>
      </w:r>
      <w:r>
        <w:rPr>
          <w:b w:val="false"/>
          <w:bCs w:val="false"/>
          <w:i/>
          <w:iCs/>
        </w:rPr>
        <w:t xml:space="preserve">(points 13–18)</w:t>
      </w:r>
    </w:p>
    <w:p>
      <w:pPr>
        <w:pStyle w:val="Heading3"/>
        <w:spacing w:after="120" w:before="240"/>
      </w:pPr>
      <w:r>
        <w:rPr>
          <w:b w:val="false"/>
          <w:bCs w:val="false"/>
          <w:i w:val="false"/>
          <w:iCs w:val="false"/>
        </w:rPr>
        <w:t xml:space="preserve">1. Logique générale du modèle économique</w:t>
      </w:r>
    </w:p>
    <w:p>
      <w:pPr>
        <w:spacing w:after="160"/>
        <w:jc w:val="both"/>
      </w:pPr>
      <w:r>
        <w:rPr>
          <w:b w:val="false"/>
          <w:bCs w:val="false"/>
          <w:i w:val="false"/>
          <w:iCs w:val="false"/>
        </w:rPr>
        <w:t xml:space="preserve">CHICANO combine un modèle de </w:t>
      </w:r>
      <w:r>
        <w:rPr>
          <w:b/>
          <w:bCs/>
          <w:i w:val="false"/>
          <w:iCs w:val="false"/>
        </w:rPr>
        <w:t xml:space="preserve">service ponctuel à la transaction</w:t>
      </w:r>
      <w:r>
        <w:rPr>
          <w:b w:val="false"/>
          <w:bCs w:val="false"/>
          <w:i w:val="false"/>
          <w:iCs w:val="false"/>
        </w:rPr>
        <w:t xml:space="preserve"> (B2C, diagnostic/réparation/expertise) avec un modèle de </w:t>
      </w:r>
      <w:r>
        <w:rPr>
          <w:b/>
          <w:bCs/>
          <w:i w:val="false"/>
          <w:iCs w:val="false"/>
        </w:rPr>
        <w:t xml:space="preserve">service contractuel récurrent</w:t>
      </w:r>
      <w:r>
        <w:rPr>
          <w:b w:val="false"/>
          <w:bCs w:val="false"/>
          <w:i w:val="false"/>
          <w:iCs w:val="false"/>
        </w:rPr>
        <w:t xml:space="preserve"> (B2B flotte). Le premier apporte du volume et la preuve de concept rapide ; le second apporte la stabilité de trésorerie et la valorisation de long terme. La priorité relative entre les deux (décision n°2 du Lean Canvas) reste à trancher explicitement par le porteur — ce document présente les deux modèles en parallèle plutôt que de trancher à sa place.</w:t>
      </w:r>
    </w:p>
    <w:p>
      <w:pPr>
        <w:pStyle w:val="Heading3"/>
        <w:spacing w:after="120" w:before="240"/>
      </w:pPr>
      <w:r>
        <w:rPr>
          <w:b w:val="false"/>
          <w:bCs w:val="false"/>
          <w:i w:val="false"/>
          <w:iCs w:val="false"/>
        </w:rPr>
        <w:t xml:space="preserve">2. Modèle B2C</w:t>
      </w:r>
    </w:p>
    <w:p>
      <w:pPr>
        <w:spacing w:after="160"/>
        <w:jc w:val="both"/>
      </w:pPr>
      <w:r>
        <w:rPr>
          <w:b w:val="false"/>
          <w:bCs w:val="false"/>
          <w:i w:val="false"/>
          <w:iCs w:val="false"/>
        </w:rPr>
        <w:t xml:space="preserve">Flux : acquisition (bouche-à-oreille, WhatsApp, réseaux sociaux) → prise de rendez-vous → diagnostic payant → devis → réparation optionnelle → enregistrement au carnet numérique → rappel automatique à la prochaine échéance. Le B2C génère des transactions plus fréquentes mais de panier unitaire plus faible et de fidélité plus incertaine (le client compare plus facilement d'un prestataire à l'autre).</w:t>
      </w:r>
    </w:p>
    <w:p>
      <w:pPr>
        <w:pStyle w:val="Heading3"/>
        <w:spacing w:after="120" w:before="240"/>
      </w:pPr>
      <w:r>
        <w:rPr>
          <w:b w:val="false"/>
          <w:bCs w:val="false"/>
          <w:i w:val="false"/>
          <w:iCs w:val="false"/>
        </w:rPr>
        <w:t xml:space="preserve">3. Modèle B2B</w:t>
      </w:r>
    </w:p>
    <w:p>
      <w:pPr>
        <w:spacing w:after="160"/>
        <w:jc w:val="both"/>
      </w:pPr>
      <w:r>
        <w:rPr>
          <w:b w:val="false"/>
          <w:bCs w:val="false"/>
          <w:i w:val="false"/>
          <w:iCs w:val="false"/>
        </w:rPr>
        <w:t xml:space="preserve">Flux : prospection directe des gestionnaires de flotte → proposition de contrat pilote (souvent gratuit ou à tarif réduit sur 1 à 3 véhicules pour prouver la valeur) → contrat de suivi régulier (forfait + intervention) → reporting périodique (état de flotte, coûts, alertes préventives) → renouvellement annuel. Le B2B exige un effort commercial plus long à convertir mais un revenu bien plus prévisible une fois signé — c'est le segment sur lequel investir en premier un effort commercial structuré (voir section IX.5).</w:t>
      </w:r>
    </w:p>
    <w:p>
      <w:pPr>
        <w:pStyle w:val="Heading3"/>
        <w:spacing w:after="120" w:before="240"/>
      </w:pPr>
      <w:r>
        <w:rPr>
          <w:b w:val="false"/>
          <w:bCs w:val="false"/>
          <w:i w:val="false"/>
          <w:iCs w:val="false"/>
        </w:rPr>
        <w:t xml:space="preserve">4. Gestion des flottes</w:t>
      </w:r>
    </w:p>
    <w:p>
      <w:pPr>
        <w:spacing w:after="160"/>
        <w:jc w:val="both"/>
      </w:pPr>
      <w:r>
        <w:rPr>
          <w:b w:val="false"/>
          <w:bCs w:val="false"/>
          <w:i w:val="false"/>
          <w:iCs w:val="false"/>
        </w:rPr>
        <w:t xml:space="preserve">Le service de gestion de flotte doit s'appuyer directement sur le carnet numérique (section VI.4) : chaque véhicule de la flotte a une fiche, chaque intervention est tracée, un rapport de synthèse périodique (mensuel ou trimestriel) est transmis au gestionnaire. C'est ce reporting, plus que le prix, qui construit la valeur perçue par un gestionnaire de flotte responsable devant sa hiérarchie ou son bailleur (cas fréquent pour les ONG).</w:t>
      </w:r>
    </w:p>
    <w:p>
      <w:pPr>
        <w:pStyle w:val="Heading3"/>
        <w:spacing w:after="120" w:before="240"/>
      </w:pPr>
      <w:r>
        <w:rPr>
          <w:b w:val="false"/>
          <w:bCs w:val="false"/>
          <w:i w:val="false"/>
          <w:iCs w:val="false"/>
        </w:rPr>
        <w:t xml:space="preserve">5. Modèle d'abonnement (B2C)</w:t>
      </w:r>
    </w:p>
    <w:p>
      <w:pPr>
        <w:spacing w:after="160"/>
        <w:jc w:val="both"/>
      </w:pPr>
      <w:r>
        <w:rPr>
          <w:b w:val="false"/>
          <w:bCs w:val="false"/>
          <w:i w:val="false"/>
          <w:iCs w:val="false"/>
        </w:rPr>
        <w:t xml:space="preserve">Identifié en Phase 1 comme une hypothèse secondaire, non prioritaire. À ne pas construire avant d'avoir consolidé l'offre de base. S'il est testé plus tard, la logique la plus réaliste est un abonnement d'entretien préventif simple (2 visites programmées par an + diagnostic inclus + priorité de rendez-vous), plutôt qu'un abonnement complexe à plusieurs paliers dès le départ.</w:t>
      </w:r>
    </w:p>
    <w:p>
      <w:pPr>
        <w:pStyle w:val="Heading3"/>
        <w:spacing w:after="120" w:before="240"/>
      </w:pPr>
      <w:r>
        <w:rPr>
          <w:b w:val="false"/>
          <w:bCs w:val="false"/>
          <w:i w:val="false"/>
          <w:iCs w:val="false"/>
        </w:rPr>
        <w:t xml:space="preserve">6. Service mobile</w:t>
      </w:r>
    </w:p>
    <w:p>
      <w:pPr>
        <w:spacing w:after="160"/>
        <w:jc w:val="both"/>
      </w:pPr>
      <w:r>
        <w:rPr>
          <w:b w:val="false"/>
          <w:bCs w:val="false"/>
          <w:i w:val="false"/>
          <w:iCs w:val="false"/>
        </w:rPr>
        <w:t xml:space="preserve">À lancer sans investissement dédié dans un premier temps (déplacement ponctuel avec le matériel existant), pour mesurer la demande réelle avant d'investir dans un véhicule équipé. Le service mobile a deux usages distincts à ne pas confondre commercialement : l'</w:t>
      </w:r>
      <w:r>
        <w:rPr>
          <w:b/>
          <w:bCs/>
          <w:i w:val="false"/>
          <w:iCs w:val="false"/>
        </w:rPr>
        <w:t xml:space="preserve">urgence</w:t>
      </w:r>
      <w:r>
        <w:rPr>
          <w:b w:val="false"/>
          <w:bCs w:val="false"/>
          <w:i w:val="false"/>
          <w:iCs w:val="false"/>
        </w:rPr>
        <w:t xml:space="preserve"> (dépannage, mise en route, panne bloquante — réactivité et disponibilité), et l'</w:t>
      </w:r>
      <w:r>
        <w:rPr>
          <w:b/>
          <w:bCs/>
          <w:i w:val="false"/>
          <w:iCs w:val="false"/>
        </w:rPr>
        <w:t xml:space="preserve">intervention planifiée sur site</w:t>
      </w:r>
      <w:r>
        <w:rPr>
          <w:b w:val="false"/>
          <w:bCs w:val="false"/>
          <w:i w:val="false"/>
          <w:iCs w:val="false"/>
        </w:rPr>
        <w:t xml:space="preserve"> pour les flottes B2B (moins de contrainte de délai, plus facile à organiser et à rentabiliser).</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VI. Opérations </w:t>
      </w:r>
      <w:r>
        <w:rPr>
          <w:b w:val="false"/>
          <w:bCs w:val="false"/>
          <w:i/>
          <w:iCs/>
        </w:rPr>
        <w:t xml:space="preserve">(points 19–25)</w:t>
      </w:r>
    </w:p>
    <w:p>
      <w:pPr>
        <w:pStyle w:val="Heading3"/>
        <w:spacing w:after="120" w:before="240"/>
      </w:pPr>
      <w:r>
        <w:rPr>
          <w:b w:val="false"/>
          <w:bCs w:val="false"/>
          <w:i w:val="false"/>
          <w:iCs w:val="false"/>
        </w:rPr>
        <w:t xml:space="preserve">1. Processus de diagnostic automobile</w:t>
      </w:r>
    </w:p>
    <w:p>
      <w:pPr>
        <w:spacing w:after="160"/>
        <w:jc w:val="both"/>
      </w:pPr>
      <w:r>
        <w:rPr>
          <w:b w:val="false"/>
          <w:bCs w:val="false"/>
          <w:i w:val="false"/>
          <w:iCs w:val="false"/>
        </w:rPr>
        <w:t xml:space="preserve">Reprise du parcours en 19 étapes déjà défini dans le brief initial (contact → identification véhicule/symptômes → rendez-vous → diagnostic instrumenté → rapport → devis → réparation → contrôle final → historique → rappel), sans modification de fond. Le point de vigilance opérationnel est la </w:t>
      </w:r>
      <w:r>
        <w:rPr>
          <w:b/>
          <w:bCs/>
          <w:i w:val="false"/>
          <w:iCs w:val="false"/>
        </w:rPr>
        <w:t xml:space="preserve">discipline d'exécution des étapes 10 à 13</w:t>
      </w:r>
      <w:r>
        <w:rPr>
          <w:b w:val="false"/>
          <w:bCs w:val="false"/>
          <w:i w:val="false"/>
          <w:iCs w:val="false"/>
        </w:rPr>
        <w:t xml:space="preserve"> (diagnostic instrumenté, rapport, gravité, réparations proposées) : c'est là que se joue, à chaque intervention, la crédibilité de la promesse de marque. Ces étapes ne doivent jamais être compressées ou sautées, même sous pression de délai ou de prix.</w:t>
      </w:r>
    </w:p>
    <w:p>
      <w:pPr>
        <w:pStyle w:val="Heading3"/>
        <w:spacing w:after="120" w:before="240"/>
      </w:pPr>
      <w:r>
        <w:rPr>
          <w:b w:val="false"/>
          <w:bCs w:val="false"/>
          <w:i w:val="false"/>
          <w:iCs w:val="false"/>
        </w:rPr>
        <w:t xml:space="preserve">2. Expertise avant achat</w:t>
      </w:r>
    </w:p>
    <w:p>
      <w:pPr>
        <w:spacing w:after="160"/>
        <w:jc w:val="both"/>
      </w:pPr>
      <w:r>
        <w:rPr>
          <w:b w:val="false"/>
          <w:bCs w:val="false"/>
          <w:i w:val="false"/>
          <w:iCs w:val="false"/>
        </w:rPr>
        <w:t xml:space="preserve">Processus dédié, plus long que le diagnostic courant (moteur, transmission, électronique, freinage, suspension, châssis, batterie, climatisation — liste déjà définie dans le brief). Doit être vendu comme une prestation autonome avec rendez-vous dédié, livrée avec un rapport structuré remis en main propre ou par WhatsApp/PDF, que le client peut utiliser directement dans sa négociation d'achat — c'est cet usage concret du rapport qui justifie le prix premium de cette prestation.</w:t>
      </w:r>
    </w:p>
    <w:p>
      <w:pPr>
        <w:pStyle w:val="Heading3"/>
        <w:spacing w:after="120" w:before="240"/>
      </w:pPr>
      <w:r>
        <w:rPr>
          <w:b w:val="false"/>
          <w:bCs w:val="false"/>
          <w:i w:val="false"/>
          <w:iCs w:val="false"/>
        </w:rPr>
        <w:t xml:space="preserve">3. Stratégie digitale</w:t>
      </w:r>
    </w:p>
    <w:p>
      <w:pPr>
        <w:spacing w:after="160"/>
        <w:jc w:val="both"/>
      </w:pPr>
      <w:r>
        <w:rPr>
          <w:b w:val="false"/>
          <w:bCs w:val="false"/>
          <w:i w:val="false"/>
          <w:iCs w:val="false"/>
        </w:rPr>
        <w:t xml:space="preserve">Conforme au MVP digital défini en Phase 1 : priorité absolue à WhatsApp Business structuré (catalogue, réponses rapides, prise de rendez-vous), en cohérence avec le fait que WhatsApp est utilisé par environ 79 % des internautes maliens quand le taux de pénétration internet global reste d'environ 35 % de la population. Une plateforme web ou une application mobile dédiée ne doit être envisagée qu'après consolidation de l'activité de base (Phase 3 du plan de lancement), pas comme un prérequis du lancement.</w:t>
      </w:r>
    </w:p>
    <w:p>
      <w:pPr>
        <w:pStyle w:val="Heading3"/>
        <w:spacing w:after="120" w:before="240"/>
      </w:pPr>
      <w:r>
        <w:rPr>
          <w:b w:val="false"/>
          <w:bCs w:val="false"/>
          <w:i w:val="false"/>
          <w:iCs w:val="false"/>
        </w:rPr>
        <w:t xml:space="preserve">4. Architecture de la plateforme (carnet numérique)</w:t>
      </w:r>
    </w:p>
    <w:p>
      <w:pPr>
        <w:spacing w:after="160"/>
        <w:jc w:val="both"/>
      </w:pPr>
      <w:r>
        <w:rPr>
          <w:b w:val="false"/>
          <w:bCs w:val="false"/>
          <w:i w:val="false"/>
          <w:iCs w:val="false"/>
        </w:rPr>
        <w:t xml:space="preserve">Version MVP : un tableur structuré ou un outil no-code léger (une fiche par véhicule : identité client, caractéristiques véhicule, historique d'interventions, kilométrage, prochaine échéance). Version cible à moyen terme, une fois le volume le justifiant : une base de données simple avec interface web légère, accessible à l'équipe et, potentiellement, en lecture seule au client (consultation de son propre historique). La plateforme ne doit </w:t>
      </w:r>
      <w:r>
        <w:rPr>
          <w:b/>
          <w:bCs/>
          <w:i w:val="false"/>
          <w:iCs w:val="false"/>
        </w:rPr>
        <w:t xml:space="preserve">pas</w:t>
      </w:r>
      <w:r>
        <w:rPr>
          <w:b w:val="false"/>
          <w:bCs w:val="false"/>
          <w:i w:val="false"/>
          <w:iCs w:val="false"/>
        </w:rPr>
        <w:t xml:space="preserve"> être construite avant que le processus manuel ait prouvé sa valeur — construire l'outil digital avant le processus, c'est le risque classique de sur-ingénierie prématurée que le brief initial demandait explicitement d'éviter.</w:t>
      </w:r>
    </w:p>
    <w:p>
      <w:pPr>
        <w:pStyle w:val="Heading3"/>
        <w:spacing w:after="120" w:before="240"/>
      </w:pPr>
      <w:r>
        <w:rPr>
          <w:b w:val="false"/>
          <w:bCs w:val="false"/>
          <w:i w:val="false"/>
          <w:iCs w:val="false"/>
        </w:rPr>
        <w:t xml:space="preserve">5. Parcours client</w:t>
      </w:r>
    </w:p>
    <w:p>
      <w:pPr>
        <w:spacing w:after="160"/>
        <w:jc w:val="both"/>
      </w:pPr>
      <w:r>
        <w:rPr>
          <w:b w:val="false"/>
          <w:bCs w:val="false"/>
          <w:i w:val="false"/>
          <w:iCs w:val="false"/>
        </w:rPr>
        <w:t xml:space="preserve">Synthèse : premier contact (WhatsApp/téléphone/bouche-à-oreille) → qualification du besoin → rendez-vous → accueil au garage ou intervention mobile → diagnostic → remise du rapport → devis → décision du client → réparation si validée → restitution du véhicule avec explication orale du rapport → enregistrement au carnet numérique → suivi post-intervention (message de courtoisie + rappel de la prochaine échéance).</w:t>
      </w:r>
    </w:p>
    <w:p>
      <w:pPr>
        <w:pStyle w:val="Heading3"/>
        <w:spacing w:after="120" w:before="240"/>
      </w:pPr>
      <w:r>
        <w:rPr>
          <w:b w:val="false"/>
          <w:bCs w:val="false"/>
          <w:i w:val="false"/>
          <w:iCs w:val="false"/>
        </w:rPr>
        <w:t xml:space="preserve">6. Organisation du garage</w:t>
      </w:r>
    </w:p>
    <w:p>
      <w:pPr>
        <w:spacing w:after="160"/>
        <w:jc w:val="both"/>
      </w:pPr>
      <w:r>
        <w:rPr>
          <w:b w:val="false"/>
          <w:bCs w:val="false"/>
          <w:i w:val="false"/>
          <w:iCs w:val="false"/>
        </w:rPr>
        <w:t xml:space="preserve">Structure minimale de lancement : un pôle diagnostic (le technicien le plus qualifié, responsable de la promesse de marque), un pôle mécanique/électricité générale, un pôle accueil/gestion des rendez-vous (peut être assuré par le porteur lui-même dans les premiers mois). Un responsable qualité informel (le porteur, ou le technicien senior) doit être identifié dès le départ pour garantir que l'architecture en trois temps (diagnostic → rapport → devis) est bien respectée à chaque intervention.</w:t>
      </w:r>
    </w:p>
    <w:p>
      <w:pPr>
        <w:pStyle w:val="Heading3"/>
        <w:spacing w:after="120" w:before="240"/>
      </w:pPr>
      <w:r>
        <w:rPr>
          <w:b w:val="false"/>
          <w:bCs w:val="false"/>
          <w:i w:val="false"/>
          <w:iCs w:val="false"/>
        </w:rPr>
        <w:t xml:space="preserve">7. Organisation du service mobile</w:t>
      </w:r>
    </w:p>
    <w:p>
      <w:pPr>
        <w:spacing w:after="160"/>
        <w:jc w:val="both"/>
      </w:pPr>
      <w:r>
        <w:rPr>
          <w:b w:val="false"/>
          <w:bCs w:val="false"/>
          <w:i w:val="false"/>
          <w:iCs w:val="false"/>
        </w:rPr>
        <w:t xml:space="preserve">À ne structurer en équipe dédiée qu'après validation de la demande (section V.6). Dans l'intervalle, les interventions mobiles sont assurées par rotation par l'équipe du garage, avec un protocole de sécurité simple (signalement du déplacement, horaire de retour prévu, en particulier pour les interventions nocturnes compte tenu du risque identifié en Phase 1).</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VII. Organisation et ressources humaines </w:t>
      </w:r>
      <w:r>
        <w:rPr>
          <w:b w:val="false"/>
          <w:bCs w:val="false"/>
          <w:i/>
          <w:iCs/>
        </w:rPr>
        <w:t xml:space="preserve">(points 26–27)</w:t>
      </w:r>
    </w:p>
    <w:p>
      <w:pPr>
        <w:pStyle w:val="Heading3"/>
        <w:spacing w:after="120" w:before="240"/>
      </w:pPr>
      <w:r>
        <w:rPr>
          <w:b w:val="false"/>
          <w:bCs w:val="false"/>
          <w:i w:val="false"/>
          <w:iCs w:val="false"/>
        </w:rPr>
        <w:t xml:space="preserve">1. Équipe cible de lancement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167"/>
        <w:gridCol w:w="6458"/>
        <w:gridCol w:w="4773"/>
      </w:tblGrid>
      <w:tr>
        <w:trPr>
          <w:tblHeader/>
        </w:trPr>
        <w:tc>
          <w:tcPr>
            <w:tcW w:type="dxa" w:w="4167"/>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Poste</w:t>
            </w:r>
          </w:p>
        </w:tc>
        <w:tc>
          <w:tcPr>
            <w:tcW w:type="dxa" w:w="6458"/>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Rôle</w:t>
            </w:r>
          </w:p>
        </w:tc>
        <w:tc>
          <w:tcPr>
            <w:tcW w:type="dxa" w:w="4773"/>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Priorité de recrutement</w:t>
            </w:r>
          </w:p>
        </w:tc>
      </w:tr>
      <w:tr>
        <w:tc>
          <w:tcPr>
            <w:tcW w:type="dxa" w:w="4167"/>
            <w:tcMar>
              <w:top w:type="dxa" w:w="60"/>
              <w:left w:type="dxa" w:w="100"/>
              <w:bottom w:type="dxa" w:w="60"/>
              <w:right w:type="dxa" w:w="100"/>
            </w:tcMar>
          </w:tcPr>
          <w:p>
            <w:pPr>
              <w:spacing w:after="0"/>
            </w:pPr>
            <w:r>
              <w:rPr>
                <w:b w:val="false"/>
                <w:bCs w:val="false"/>
                <w:i w:val="false"/>
                <w:iCs w:val="false"/>
                <w:sz w:val="17"/>
                <w:szCs w:val="17"/>
              </w:rPr>
              <w:t xml:space="preserve">Technicien diagnostic électronique</w:t>
            </w:r>
          </w:p>
        </w:tc>
        <w:tc>
          <w:tcPr>
            <w:tcW w:type="dxa" w:w="6458"/>
            <w:tcMar>
              <w:top w:type="dxa" w:w="60"/>
              <w:left w:type="dxa" w:w="100"/>
              <w:bottom w:type="dxa" w:w="60"/>
              <w:right w:type="dxa" w:w="100"/>
            </w:tcMar>
          </w:tcPr>
          <w:p>
            <w:pPr>
              <w:spacing w:after="0"/>
            </w:pPr>
            <w:r>
              <w:rPr>
                <w:b w:val="false"/>
                <w:bCs w:val="false"/>
                <w:i w:val="false"/>
                <w:iCs w:val="false"/>
                <w:sz w:val="17"/>
                <w:szCs w:val="17"/>
              </w:rPr>
              <w:t xml:space="preserve">Porte la promesse de marque ; réalise les diagnostics instrumentés, forme progressivement les autres techniciens</w:t>
            </w:r>
          </w:p>
        </w:tc>
        <w:tc>
          <w:tcPr>
            <w:tcW w:type="dxa" w:w="4773"/>
            <w:tcMar>
              <w:top w:type="dxa" w:w="60"/>
              <w:left w:type="dxa" w:w="100"/>
              <w:bottom w:type="dxa" w:w="60"/>
              <w:right w:type="dxa" w:w="100"/>
            </w:tcMar>
          </w:tcPr>
          <w:p>
            <w:pPr>
              <w:spacing w:after="0"/>
            </w:pPr>
            <w:r>
              <w:rPr>
                <w:b w:val="false"/>
                <w:bCs w:val="false"/>
                <w:i w:val="false"/>
                <w:iCs w:val="false"/>
                <w:sz w:val="17"/>
                <w:szCs w:val="17"/>
              </w:rPr>
              <w:t xml:space="preserve">Critique, à recruter avant l'ouverture</w:t>
            </w:r>
          </w:p>
        </w:tc>
      </w:tr>
      <w:tr>
        <w:tc>
          <w:tcPr>
            <w:tcW w:type="dxa" w:w="4167"/>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Mécanicien généraliste</w:t>
            </w:r>
          </w:p>
        </w:tc>
        <w:tc>
          <w:tcPr>
            <w:tcW w:type="dxa" w:w="6458"/>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Entretien, mécanique courante, seconde le technicien diagnostic</w:t>
            </w:r>
          </w:p>
        </w:tc>
        <w:tc>
          <w:tcPr>
            <w:tcW w:type="dxa" w:w="4773"/>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Indispensable au lancement</w:t>
            </w:r>
          </w:p>
        </w:tc>
      </w:tr>
      <w:tr>
        <w:tc>
          <w:tcPr>
            <w:tcW w:type="dxa" w:w="4167"/>
            <w:tcMar>
              <w:top w:type="dxa" w:w="60"/>
              <w:left w:type="dxa" w:w="100"/>
              <w:bottom w:type="dxa" w:w="60"/>
              <w:right w:type="dxa" w:w="100"/>
            </w:tcMar>
          </w:tcPr>
          <w:p>
            <w:pPr>
              <w:spacing w:after="0"/>
            </w:pPr>
            <w:r>
              <w:rPr>
                <w:b w:val="false"/>
                <w:bCs w:val="false"/>
                <w:i w:val="false"/>
                <w:iCs w:val="false"/>
                <w:sz w:val="17"/>
                <w:szCs w:val="17"/>
              </w:rPr>
              <w:t xml:space="preserve">Responsable accueil / gestion des rendez-vous</w:t>
            </w:r>
          </w:p>
        </w:tc>
        <w:tc>
          <w:tcPr>
            <w:tcW w:type="dxa" w:w="6458"/>
            <w:tcMar>
              <w:top w:type="dxa" w:w="60"/>
              <w:left w:type="dxa" w:w="100"/>
              <w:bottom w:type="dxa" w:w="60"/>
              <w:right w:type="dxa" w:w="100"/>
            </w:tcMar>
          </w:tcPr>
          <w:p>
            <w:pPr>
              <w:spacing w:after="0"/>
            </w:pPr>
            <w:r>
              <w:rPr>
                <w:b w:val="false"/>
                <w:bCs w:val="false"/>
                <w:i w:val="false"/>
                <w:iCs w:val="false"/>
                <w:sz w:val="17"/>
                <w:szCs w:val="17"/>
              </w:rPr>
              <w:t xml:space="preserve">Gère WhatsApp Business, planning, premier contact client</w:t>
            </w:r>
          </w:p>
        </w:tc>
        <w:tc>
          <w:tcPr>
            <w:tcW w:type="dxa" w:w="4773"/>
            <w:tcMar>
              <w:top w:type="dxa" w:w="60"/>
              <w:left w:type="dxa" w:w="100"/>
              <w:bottom w:type="dxa" w:w="60"/>
              <w:right w:type="dxa" w:w="100"/>
            </w:tcMar>
          </w:tcPr>
          <w:p>
            <w:pPr>
              <w:spacing w:after="0"/>
            </w:pPr>
            <w:r>
              <w:rPr>
                <w:b w:val="false"/>
                <w:bCs w:val="false"/>
                <w:i w:val="false"/>
                <w:iCs w:val="false"/>
                <w:sz w:val="17"/>
                <w:szCs w:val="17"/>
              </w:rPr>
              <w:t xml:space="preserve">Peut être le porteur lui-même dans un premier temps</w:t>
            </w:r>
          </w:p>
        </w:tc>
      </w:tr>
      <w:tr>
        <w:tc>
          <w:tcPr>
            <w:tcW w:type="dxa" w:w="4167"/>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Porteur / gérant</w:t>
            </w:r>
          </w:p>
        </w:tc>
        <w:tc>
          <w:tcPr>
            <w:tcW w:type="dxa" w:w="6458"/>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Pilotage global, qualité, relation B2B, gestion financière</w:t>
            </w:r>
          </w:p>
        </w:tc>
        <w:tc>
          <w:tcPr>
            <w:tcW w:type="dxa" w:w="4773"/>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En place dès le départ</w:t>
            </w:r>
          </w:p>
        </w:tc>
      </w:tr>
    </w:tbl>
    <w:p>
      <w:pPr>
        <w:spacing w:after="200"/>
      </w:pPr>
    </w:p>
    <w:p>
      <w:pPr>
        <w:spacing w:after="160"/>
        <w:jc w:val="both"/>
      </w:pPr>
      <w:r>
        <w:rPr>
          <w:b w:val="false"/>
          <w:bCs w:val="false"/>
          <w:i w:val="false"/>
          <w:iCs w:val="false"/>
        </w:rPr>
        <w:t xml:space="preserve">Postes à ouvrir après validation du volume d'activité : second technicien diagnostic (pour absorber le volume et sécuriser la continuité si le premier est absent), chauffeur/technicien service mobile dédié, gestionnaire administratif et comptable.</w:t>
      </w:r>
    </w:p>
    <w:p>
      <w:pPr>
        <w:pStyle w:val="Heading3"/>
        <w:spacing w:after="120" w:before="240"/>
      </w:pPr>
      <w:r>
        <w:rPr>
          <w:b w:val="false"/>
          <w:bCs w:val="false"/>
          <w:i w:val="false"/>
          <w:iCs w:val="false"/>
        </w:rPr>
        <w:t xml:space="preserve">2. Fiches de poste (résumé)</w:t>
      </w:r>
    </w:p>
    <w:p>
      <w:pPr>
        <w:spacing w:after="160"/>
        <w:jc w:val="both"/>
      </w:pPr>
      <w:r>
        <w:rPr>
          <w:b/>
          <w:bCs/>
          <w:i w:val="false"/>
          <w:iCs w:val="false"/>
        </w:rPr>
        <w:t xml:space="preserve">Technicien diagnostic électronique</w:t>
      </w:r>
      <w:r>
        <w:rPr>
          <w:b w:val="false"/>
          <w:bCs w:val="false"/>
          <w:i w:val="false"/>
          <w:iCs w:val="false"/>
        </w:rPr>
        <w:t xml:space="preserve"> — Compétences requises : lecture et interprétation de systèmes OBD/multimarque, connaissance des architectures ECU/ABS/Airbag, rigueur de documentation (rédaction du rapport de diagnostic), pédagogie pour expliquer les résultats au client. Point de vigilance RH : cette compétence est rare sur le marché bamakois (constat déjà posé en Phase 1) — prévoir un plan de formation continue et une rémunération alignée sur la rareté de la compétence plutôt que sur la moyenne du secteur mécanique généraliste.</w:t>
      </w:r>
    </w:p>
    <w:p>
      <w:pPr>
        <w:spacing w:after="160"/>
        <w:jc w:val="both"/>
      </w:pPr>
      <w:r>
        <w:rPr>
          <w:b/>
          <w:bCs/>
          <w:i w:val="false"/>
          <w:iCs w:val="false"/>
        </w:rPr>
        <w:t xml:space="preserve">Mécanicien généraliste</w:t>
      </w:r>
      <w:r>
        <w:rPr>
          <w:b w:val="false"/>
          <w:bCs w:val="false"/>
          <w:i w:val="false"/>
          <w:iCs w:val="false"/>
        </w:rPr>
        <w:t xml:space="preserve"> — Compétences requises : mécanique classique (freinage, suspension, distribution, embrayage), capacité à travailler en binôme avec le technicien diagnostic sans court-circuiter le processus (ne pas réparer avant que le diagnostic et le devis soient validés).</w:t>
      </w:r>
    </w:p>
    <w:p>
      <w:pPr>
        <w:spacing w:after="160"/>
        <w:jc w:val="both"/>
      </w:pPr>
      <w:r>
        <w:rPr>
          <w:b/>
          <w:bCs/>
          <w:i w:val="false"/>
          <w:iCs w:val="false"/>
        </w:rPr>
        <w:t xml:space="preserve">Responsable accueil / gestion des rendez-vous</w:t>
      </w:r>
      <w:r>
        <w:rPr>
          <w:b w:val="false"/>
          <w:bCs w:val="false"/>
          <w:i w:val="false"/>
          <w:iCs w:val="false"/>
        </w:rPr>
        <w:t xml:space="preserve"> — Compétences requises : maîtrise de WhatsApp Business et des outils de planning simples, sens du service client, capacité à qualifier une demande (marque, modèle, symptômes) avant le rendez-vous pour préparer l'intervention.</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VIII. Investissement et prévisions financières </w:t>
      </w:r>
      <w:r>
        <w:rPr>
          <w:b w:val="false"/>
          <w:bCs w:val="false"/>
          <w:i/>
          <w:iCs/>
        </w:rPr>
        <w:t xml:space="preserve">(points 28–36)</w:t>
      </w:r>
    </w:p>
    <w:p>
      <w:pPr>
        <w:spacing w:after="160"/>
        <w:jc w:val="both"/>
      </w:pPr>
      <w:r>
        <w:rPr>
          <w:b/>
          <w:bCs/>
          <w:i w:val="false"/>
          <w:iCs w:val="false"/>
        </w:rPr>
        <w:t xml:space="preserve">Avertissement renforcé pour cette section :</w:t>
      </w:r>
      <w:r>
        <w:rPr>
          <w:b w:val="false"/>
          <w:bCs w:val="false"/>
          <w:i w:val="false"/>
          <w:iCs w:val="false"/>
        </w:rPr>
        <w:t xml:space="preserve"> tous les montants ci-dessous sont des hypothèses de modélisation construites à partir de repères indirects (salaires de référence à Bamako, prix du carburant, fourchettes de prix d'équipements observées hors Mali), pas des devis maliens fermes. Ils servent à structurer la réflexion et à préparer les vraies négociations, pas à remplacer une étude de faisabilité chiffrée. Chaque ligne devrait être confirmée par un devis local avant d'engager une dépense.</w:t>
      </w:r>
    </w:p>
    <w:p>
      <w:pPr>
        <w:pStyle w:val="Heading3"/>
        <w:spacing w:after="120" w:before="240"/>
      </w:pPr>
      <w:r>
        <w:rPr>
          <w:b w:val="false"/>
          <w:bCs w:val="false"/>
          <w:i w:val="false"/>
          <w:iCs w:val="false"/>
        </w:rPr>
        <w:t xml:space="preserve">1. Équipements (rappel, détail en Lean Canvas section 10)</w:t>
      </w:r>
    </w:p>
    <w:p>
      <w:pPr>
        <w:spacing w:after="160"/>
        <w:jc w:val="both"/>
      </w:pPr>
      <w:r>
        <w:rPr>
          <w:b w:val="false"/>
          <w:bCs w:val="false"/>
          <w:i w:val="false"/>
          <w:iCs w:val="false"/>
        </w:rPr>
        <w:t xml:space="preserve">Classement inchangé : indispensable au lancement / important après validation / avancé / hybride-EV différé / à acheter plus tard.</w:t>
      </w:r>
    </w:p>
    <w:p>
      <w:pPr>
        <w:pStyle w:val="Heading3"/>
        <w:spacing w:after="120" w:before="240"/>
      </w:pPr>
      <w:r>
        <w:rPr>
          <w:b w:val="false"/>
          <w:bCs w:val="false"/>
          <w:i w:val="false"/>
          <w:iCs w:val="false"/>
        </w:rPr>
        <w:t xml:space="preserve">2. Investissement initial (CAPEX) — </w:t>
      </w:r>
      <w:r>
        <w:rPr>
          <w:b w:val="false"/>
          <w:bCs w:val="false"/>
          <w:i/>
          <w:iCs/>
        </w:rPr>
        <w:t xml:space="preserve">(HYPOTHÈSE)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955"/>
        <w:gridCol w:w="4681"/>
        <w:gridCol w:w="4762"/>
      </w:tblGrid>
      <w:tr>
        <w:trPr>
          <w:tblHeader/>
        </w:trPr>
        <w:tc>
          <w:tcPr>
            <w:tcW w:type="dxa" w:w="5955"/>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Poste</w:t>
            </w:r>
          </w:p>
        </w:tc>
        <w:tc>
          <w:tcPr>
            <w:tcW w:type="dxa" w:w="4681"/>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Fourchette estimée (FCFA)</w:t>
            </w:r>
          </w:p>
        </w:tc>
        <w:tc>
          <w:tcPr>
            <w:tcW w:type="dxa" w:w="4762"/>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Statut</w:t>
            </w:r>
          </w:p>
        </w:tc>
      </w:tr>
      <w:tr>
        <w:tc>
          <w:tcPr>
            <w:tcW w:type="dxa" w:w="5955"/>
            <w:tcMar>
              <w:top w:type="dxa" w:w="60"/>
              <w:left w:type="dxa" w:w="100"/>
              <w:bottom w:type="dxa" w:w="60"/>
              <w:right w:type="dxa" w:w="100"/>
            </w:tcMar>
          </w:tcPr>
          <w:p>
            <w:pPr>
              <w:spacing w:after="0"/>
            </w:pPr>
            <w:r>
              <w:rPr>
                <w:b w:val="false"/>
                <w:bCs w:val="false"/>
                <w:i w:val="false"/>
                <w:iCs w:val="false"/>
                <w:sz w:val="17"/>
                <w:szCs w:val="17"/>
              </w:rPr>
              <w:t xml:space="preserve">Aménagement du local (Banankoro)</w:t>
            </w:r>
          </w:p>
        </w:tc>
        <w:tc>
          <w:tcPr>
            <w:tcW w:type="dxa" w:w="4681"/>
            <w:tcMar>
              <w:top w:type="dxa" w:w="60"/>
              <w:left w:type="dxa" w:w="100"/>
              <w:bottom w:type="dxa" w:w="60"/>
              <w:right w:type="dxa" w:w="100"/>
            </w:tcMar>
          </w:tcPr>
          <w:p>
            <w:pPr>
              <w:spacing w:after="0"/>
            </w:pPr>
            <w:r>
              <w:rPr>
                <w:b w:val="false"/>
                <w:bCs w:val="false"/>
                <w:i w:val="false"/>
                <w:iCs w:val="false"/>
                <w:sz w:val="17"/>
                <w:szCs w:val="17"/>
              </w:rPr>
              <w:t xml:space="preserve">3 000 000 – 6 000 000</w:t>
            </w:r>
          </w:p>
        </w:tc>
        <w:tc>
          <w:tcPr>
            <w:tcW w:type="dxa" w:w="4762"/>
            <w:tcMar>
              <w:top w:type="dxa" w:w="60"/>
              <w:left w:type="dxa" w:w="100"/>
              <w:bottom w:type="dxa" w:w="60"/>
              <w:right w:type="dxa" w:w="100"/>
            </w:tcMar>
          </w:tcPr>
          <w:p>
            <w:pPr>
              <w:spacing w:after="0"/>
            </w:pPr>
            <w:r>
              <w:rPr>
                <w:b w:val="false"/>
                <w:bCs w:val="false"/>
                <w:i w:val="false"/>
                <w:iCs w:val="false"/>
                <w:sz w:val="17"/>
                <w:szCs w:val="17"/>
              </w:rPr>
              <w:t xml:space="preserve">Indispensable</w:t>
            </w:r>
          </w:p>
        </w:tc>
      </w:tr>
      <w:tr>
        <w:tc>
          <w:tcPr>
            <w:tcW w:type="dxa" w:w="595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Pont élévateur (1 unité)</w:t>
            </w:r>
          </w:p>
        </w:tc>
        <w:tc>
          <w:tcPr>
            <w:tcW w:type="dxa" w:w="468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3 000 000 – 5 000 000</w:t>
            </w:r>
          </w:p>
        </w:tc>
        <w:tc>
          <w:tcPr>
            <w:tcW w:type="dxa" w:w="476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Indispensable</w:t>
            </w:r>
          </w:p>
        </w:tc>
      </w:tr>
      <w:tr>
        <w:tc>
          <w:tcPr>
            <w:tcW w:type="dxa" w:w="5955"/>
            <w:tcMar>
              <w:top w:type="dxa" w:w="60"/>
              <w:left w:type="dxa" w:w="100"/>
              <w:bottom w:type="dxa" w:w="60"/>
              <w:right w:type="dxa" w:w="100"/>
            </w:tcMar>
          </w:tcPr>
          <w:p>
            <w:pPr>
              <w:spacing w:after="0"/>
            </w:pPr>
            <w:r>
              <w:rPr>
                <w:b w:val="false"/>
                <w:bCs w:val="false"/>
                <w:i w:val="false"/>
                <w:iCs w:val="false"/>
                <w:sz w:val="17"/>
                <w:szCs w:val="17"/>
              </w:rPr>
              <w:t xml:space="preserve">Valise de diagnostic professionnelle multimarque (achat + 1 an de mises à jour, importée)</w:t>
            </w:r>
          </w:p>
        </w:tc>
        <w:tc>
          <w:tcPr>
            <w:tcW w:type="dxa" w:w="4681"/>
            <w:tcMar>
              <w:top w:type="dxa" w:w="60"/>
              <w:left w:type="dxa" w:w="100"/>
              <w:bottom w:type="dxa" w:w="60"/>
              <w:right w:type="dxa" w:w="100"/>
            </w:tcMar>
          </w:tcPr>
          <w:p>
            <w:pPr>
              <w:spacing w:after="0"/>
            </w:pPr>
            <w:r>
              <w:rPr>
                <w:b w:val="false"/>
                <w:bCs w:val="false"/>
                <w:i w:val="false"/>
                <w:iCs w:val="false"/>
                <w:sz w:val="17"/>
                <w:szCs w:val="17"/>
              </w:rPr>
              <w:t xml:space="preserve">1 500 000 – 3 500 000</w:t>
            </w:r>
          </w:p>
        </w:tc>
        <w:tc>
          <w:tcPr>
            <w:tcW w:type="dxa" w:w="4762"/>
            <w:tcMar>
              <w:top w:type="dxa" w:w="60"/>
              <w:left w:type="dxa" w:w="100"/>
              <w:bottom w:type="dxa" w:w="60"/>
              <w:right w:type="dxa" w:w="100"/>
            </w:tcMar>
          </w:tcPr>
          <w:p>
            <w:pPr>
              <w:spacing w:after="0"/>
            </w:pPr>
            <w:r>
              <w:rPr>
                <w:b w:val="false"/>
                <w:bCs w:val="false"/>
                <w:i w:val="false"/>
                <w:iCs w:val="false"/>
                <w:sz w:val="17"/>
                <w:szCs w:val="17"/>
              </w:rPr>
              <w:t xml:space="preserve">Indispensable — ne pas rogner sur ce poste</w:t>
            </w:r>
          </w:p>
        </w:tc>
      </w:tr>
      <w:tr>
        <w:tc>
          <w:tcPr>
            <w:tcW w:type="dxa" w:w="595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Outillage mécanique de base</w:t>
            </w:r>
          </w:p>
        </w:tc>
        <w:tc>
          <w:tcPr>
            <w:tcW w:type="dxa" w:w="468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1 500 000 – 2 500 000</w:t>
            </w:r>
          </w:p>
        </w:tc>
        <w:tc>
          <w:tcPr>
            <w:tcW w:type="dxa" w:w="476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Indispensable</w:t>
            </w:r>
          </w:p>
        </w:tc>
      </w:tr>
      <w:tr>
        <w:tc>
          <w:tcPr>
            <w:tcW w:type="dxa" w:w="5955"/>
            <w:tcMar>
              <w:top w:type="dxa" w:w="60"/>
              <w:left w:type="dxa" w:w="100"/>
              <w:bottom w:type="dxa" w:w="60"/>
              <w:right w:type="dxa" w:w="100"/>
            </w:tcMar>
          </w:tcPr>
          <w:p>
            <w:pPr>
              <w:spacing w:after="0"/>
            </w:pPr>
            <w:r>
              <w:rPr>
                <w:b w:val="false"/>
                <w:bCs w:val="false"/>
                <w:i w:val="false"/>
                <w:iCs w:val="false"/>
                <w:sz w:val="17"/>
                <w:szCs w:val="17"/>
              </w:rPr>
              <w:t xml:space="preserve">Testeurs électriques (batterie/alternateur/démarreur)</w:t>
            </w:r>
          </w:p>
        </w:tc>
        <w:tc>
          <w:tcPr>
            <w:tcW w:type="dxa" w:w="4681"/>
            <w:tcMar>
              <w:top w:type="dxa" w:w="60"/>
              <w:left w:type="dxa" w:w="100"/>
              <w:bottom w:type="dxa" w:w="60"/>
              <w:right w:type="dxa" w:w="100"/>
            </w:tcMar>
          </w:tcPr>
          <w:p>
            <w:pPr>
              <w:spacing w:after="0"/>
            </w:pPr>
            <w:r>
              <w:rPr>
                <w:b w:val="false"/>
                <w:bCs w:val="false"/>
                <w:i w:val="false"/>
                <w:iCs w:val="false"/>
                <w:sz w:val="17"/>
                <w:szCs w:val="17"/>
              </w:rPr>
              <w:t xml:space="preserve">300 000 – 600 000</w:t>
            </w:r>
          </w:p>
        </w:tc>
        <w:tc>
          <w:tcPr>
            <w:tcW w:type="dxa" w:w="4762"/>
            <w:tcMar>
              <w:top w:type="dxa" w:w="60"/>
              <w:left w:type="dxa" w:w="100"/>
              <w:bottom w:type="dxa" w:w="60"/>
              <w:right w:type="dxa" w:w="100"/>
            </w:tcMar>
          </w:tcPr>
          <w:p>
            <w:pPr>
              <w:spacing w:after="0"/>
            </w:pPr>
            <w:r>
              <w:rPr>
                <w:b w:val="false"/>
                <w:bCs w:val="false"/>
                <w:i w:val="false"/>
                <w:iCs w:val="false"/>
                <w:sz w:val="17"/>
                <w:szCs w:val="17"/>
              </w:rPr>
              <w:t xml:space="preserve">Indispensable</w:t>
            </w:r>
          </w:p>
        </w:tc>
      </w:tr>
      <w:tr>
        <w:tc>
          <w:tcPr>
            <w:tcW w:type="dxa" w:w="595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Informatique + connexion internet</w:t>
            </w:r>
          </w:p>
        </w:tc>
        <w:tc>
          <w:tcPr>
            <w:tcW w:type="dxa" w:w="468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500 000 – 800 000</w:t>
            </w:r>
          </w:p>
        </w:tc>
        <w:tc>
          <w:tcPr>
            <w:tcW w:type="dxa" w:w="476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Indispensable</w:t>
            </w:r>
          </w:p>
        </w:tc>
      </w:tr>
      <w:tr>
        <w:tc>
          <w:tcPr>
            <w:tcW w:type="dxa" w:w="5955"/>
            <w:tcMar>
              <w:top w:type="dxa" w:w="60"/>
              <w:left w:type="dxa" w:w="100"/>
              <w:bottom w:type="dxa" w:w="60"/>
              <w:right w:type="dxa" w:w="100"/>
            </w:tcMar>
          </w:tcPr>
          <w:p>
            <w:pPr>
              <w:spacing w:after="0"/>
            </w:pPr>
            <w:r>
              <w:rPr>
                <w:b w:val="false"/>
                <w:bCs w:val="false"/>
                <w:i w:val="false"/>
                <w:iCs w:val="false"/>
                <w:sz w:val="17"/>
                <w:szCs w:val="17"/>
              </w:rPr>
              <w:t xml:space="preserve">Signalétique / aménagement accueil</w:t>
            </w:r>
          </w:p>
        </w:tc>
        <w:tc>
          <w:tcPr>
            <w:tcW w:type="dxa" w:w="4681"/>
            <w:tcMar>
              <w:top w:type="dxa" w:w="60"/>
              <w:left w:type="dxa" w:w="100"/>
              <w:bottom w:type="dxa" w:w="60"/>
              <w:right w:type="dxa" w:w="100"/>
            </w:tcMar>
          </w:tcPr>
          <w:p>
            <w:pPr>
              <w:spacing w:after="0"/>
            </w:pPr>
            <w:r>
              <w:rPr>
                <w:b w:val="false"/>
                <w:bCs w:val="false"/>
                <w:i w:val="false"/>
                <w:iCs w:val="false"/>
                <w:sz w:val="17"/>
                <w:szCs w:val="17"/>
              </w:rPr>
              <w:t xml:space="preserve">500 000 – 1 000 000</w:t>
            </w:r>
          </w:p>
        </w:tc>
        <w:tc>
          <w:tcPr>
            <w:tcW w:type="dxa" w:w="4762"/>
            <w:tcMar>
              <w:top w:type="dxa" w:w="60"/>
              <w:left w:type="dxa" w:w="100"/>
              <w:bottom w:type="dxa" w:w="60"/>
              <w:right w:type="dxa" w:w="100"/>
            </w:tcMar>
          </w:tcPr>
          <w:p>
            <w:pPr>
              <w:spacing w:after="0"/>
            </w:pPr>
            <w:r>
              <w:rPr>
                <w:b w:val="false"/>
                <w:bCs w:val="false"/>
                <w:i w:val="false"/>
                <w:iCs w:val="false"/>
                <w:sz w:val="17"/>
                <w:szCs w:val="17"/>
              </w:rPr>
              <w:t xml:space="preserve">Important, sobre au lancement</w:t>
            </w:r>
          </w:p>
        </w:tc>
      </w:tr>
      <w:tr>
        <w:tc>
          <w:tcPr>
            <w:tcW w:type="dxa" w:w="595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Formalités de création d'entreprise (API-Mali, RCCM, NINEA)</w:t>
            </w:r>
          </w:p>
        </w:tc>
        <w:tc>
          <w:tcPr>
            <w:tcW w:type="dxa" w:w="468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100 000 – 300 000</w:t>
            </w:r>
          </w:p>
        </w:tc>
        <w:tc>
          <w:tcPr>
            <w:tcW w:type="dxa" w:w="476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Indispensable (procédure encadrée par l'API-Mali, guichet unique, délai réglementaire de 72h après dépôt complet)</w:t>
            </w:r>
          </w:p>
        </w:tc>
      </w:tr>
      <w:tr>
        <w:tc>
          <w:tcPr>
            <w:tcW w:type="dxa" w:w="5955"/>
            <w:tcMar>
              <w:top w:type="dxa" w:w="60"/>
              <w:left w:type="dxa" w:w="100"/>
              <w:bottom w:type="dxa" w:w="60"/>
              <w:right w:type="dxa" w:w="100"/>
            </w:tcMar>
          </w:tcPr>
          <w:p>
            <w:pPr>
              <w:spacing w:after="0"/>
            </w:pPr>
            <w:r>
              <w:rPr>
                <w:b/>
                <w:bCs/>
                <w:i w:val="false"/>
                <w:iCs w:val="false"/>
                <w:sz w:val="17"/>
                <w:szCs w:val="17"/>
              </w:rPr>
              <w:t xml:space="preserve">Total CAPEX indispensable</w:t>
            </w:r>
          </w:p>
        </w:tc>
        <w:tc>
          <w:tcPr>
            <w:tcW w:type="dxa" w:w="4681"/>
            <w:tcMar>
              <w:top w:type="dxa" w:w="60"/>
              <w:left w:type="dxa" w:w="100"/>
              <w:bottom w:type="dxa" w:w="60"/>
              <w:right w:type="dxa" w:w="100"/>
            </w:tcMar>
          </w:tcPr>
          <w:p>
            <w:pPr>
              <w:spacing w:after="0"/>
            </w:pPr>
            <w:r>
              <w:rPr>
                <w:b/>
                <w:bCs/>
                <w:i w:val="false"/>
                <w:iCs w:val="false"/>
                <w:sz w:val="17"/>
                <w:szCs w:val="17"/>
              </w:rPr>
              <w:t xml:space="preserve">≈ 10 400 000 – 19 700 000</w:t>
            </w:r>
          </w:p>
        </w:tc>
        <w:tc>
          <w:tcPr>
            <w:tcW w:type="dxa" w:w="4762"/>
            <w:tcMar>
              <w:top w:type="dxa" w:w="60"/>
              <w:left w:type="dxa" w:w="100"/>
              <w:bottom w:type="dxa" w:w="60"/>
              <w:right w:type="dxa" w:w="100"/>
            </w:tcMar>
          </w:tcPr>
          <w:p>
            <w:pPr>
              <w:spacing w:after="0"/>
            </w:pPr>
            <w:r>
              <w:rPr>
                <w:b w:val="false"/>
                <w:bCs w:val="false"/>
                <w:i w:val="false"/>
                <w:iCs w:val="false"/>
                <w:sz w:val="17"/>
                <w:szCs w:val="17"/>
              </w:rPr>
              <w:t xml:space="preserve">—</w:t>
            </w:r>
          </w:p>
        </w:tc>
      </w:tr>
      <w:tr>
        <w:tc>
          <w:tcPr>
            <w:tcW w:type="dxa" w:w="595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Véhicule mobile équipé</w:t>
            </w:r>
          </w:p>
        </w:tc>
        <w:tc>
          <w:tcPr>
            <w:tcW w:type="dxa" w:w="468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6 000 000 – 12 000 000</w:t>
            </w:r>
          </w:p>
        </w:tc>
        <w:tc>
          <w:tcPr>
            <w:tcW w:type="dxa" w:w="476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Différé jusqu'à validation</w:t>
            </w:r>
          </w:p>
        </w:tc>
      </w:tr>
      <w:tr>
        <w:tc>
          <w:tcPr>
            <w:tcW w:type="dxa" w:w="5955"/>
            <w:tcMar>
              <w:top w:type="dxa" w:w="60"/>
              <w:left w:type="dxa" w:w="100"/>
              <w:bottom w:type="dxa" w:w="60"/>
              <w:right w:type="dxa" w:w="100"/>
            </w:tcMar>
          </w:tcPr>
          <w:p>
            <w:pPr>
              <w:spacing w:after="0"/>
            </w:pPr>
            <w:r>
              <w:rPr>
                <w:b w:val="false"/>
                <w:bCs w:val="false"/>
                <w:i w:val="false"/>
                <w:iCs w:val="false"/>
                <w:sz w:val="17"/>
                <w:szCs w:val="17"/>
              </w:rPr>
              <w:t xml:space="preserve">Équipement de programmation de clés</w:t>
            </w:r>
          </w:p>
        </w:tc>
        <w:tc>
          <w:tcPr>
            <w:tcW w:type="dxa" w:w="4681"/>
            <w:tcMar>
              <w:top w:type="dxa" w:w="60"/>
              <w:left w:type="dxa" w:w="100"/>
              <w:bottom w:type="dxa" w:w="60"/>
              <w:right w:type="dxa" w:w="100"/>
            </w:tcMar>
          </w:tcPr>
          <w:p>
            <w:pPr>
              <w:spacing w:after="0"/>
            </w:pPr>
            <w:r>
              <w:rPr>
                <w:b w:val="false"/>
                <w:bCs w:val="false"/>
                <w:i w:val="false"/>
                <w:iCs w:val="false"/>
                <w:sz w:val="17"/>
                <w:szCs w:val="17"/>
              </w:rPr>
              <w:t xml:space="preserve">1 000 000 – 2 500 000</w:t>
            </w:r>
          </w:p>
        </w:tc>
        <w:tc>
          <w:tcPr>
            <w:tcW w:type="dxa" w:w="4762"/>
            <w:tcMar>
              <w:top w:type="dxa" w:w="60"/>
              <w:left w:type="dxa" w:w="100"/>
              <w:bottom w:type="dxa" w:w="60"/>
              <w:right w:type="dxa" w:w="100"/>
            </w:tcMar>
          </w:tcPr>
          <w:p>
            <w:pPr>
              <w:spacing w:after="0"/>
            </w:pPr>
            <w:r>
              <w:rPr>
                <w:b w:val="false"/>
                <w:bCs w:val="false"/>
                <w:i w:val="false"/>
                <w:iCs w:val="false"/>
                <w:sz w:val="17"/>
                <w:szCs w:val="17"/>
              </w:rPr>
              <w:t xml:space="preserve">Différé</w:t>
            </w:r>
          </w:p>
        </w:tc>
      </w:tr>
      <w:tr>
        <w:tc>
          <w:tcPr>
            <w:tcW w:type="dxa" w:w="5955"/>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Équipement hybride/EV</w:t>
            </w:r>
          </w:p>
        </w:tc>
        <w:tc>
          <w:tcPr>
            <w:tcW w:type="dxa" w:w="4681"/>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Non chiffré — demande non confirmée</w:t>
            </w:r>
          </w:p>
        </w:tc>
        <w:tc>
          <w:tcPr>
            <w:tcW w:type="dxa" w:w="476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Différé</w:t>
            </w:r>
          </w:p>
        </w:tc>
      </w:tr>
    </w:tbl>
    <w:p>
      <w:pPr>
        <w:spacing w:after="200"/>
      </w:pPr>
    </w:p>
    <w:p>
      <w:pPr>
        <w:pStyle w:val="Heading3"/>
        <w:spacing w:after="120" w:before="240"/>
      </w:pPr>
      <w:r>
        <w:rPr>
          <w:b w:val="false"/>
          <w:bCs w:val="false"/>
          <w:i w:val="false"/>
          <w:iCs w:val="false"/>
        </w:rPr>
        <w:t xml:space="preserve">3. Charges fixes mensuelles (OPEX) — </w:t>
      </w:r>
      <w:r>
        <w:rPr>
          <w:b w:val="false"/>
          <w:bCs w:val="false"/>
          <w:i/>
          <w:iCs/>
        </w:rPr>
        <w:t xml:space="preserve">(HYPOTHÈSE, équipe de lancement)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926"/>
        <w:gridCol w:w="4140"/>
        <w:gridCol w:w="6332"/>
      </w:tblGrid>
      <w:tr>
        <w:trPr>
          <w:tblHeader/>
        </w:trPr>
        <w:tc>
          <w:tcPr>
            <w:tcW w:type="dxa" w:w="4926"/>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Poste</w:t>
            </w:r>
          </w:p>
        </w:tc>
        <w:tc>
          <w:tcPr>
            <w:tcW w:type="dxa" w:w="4140"/>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Fourchette mensuelle (FCFA)</w:t>
            </w:r>
          </w:p>
        </w:tc>
        <w:tc>
          <w:tcPr>
            <w:tcW w:type="dxa" w:w="6332"/>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Base de calcul</w:t>
            </w:r>
          </w:p>
        </w:tc>
      </w:tr>
      <w:tr>
        <w:tc>
          <w:tcPr>
            <w:tcW w:type="dxa" w:w="4926"/>
            <w:tcMar>
              <w:top w:type="dxa" w:w="60"/>
              <w:left w:type="dxa" w:w="100"/>
              <w:bottom w:type="dxa" w:w="60"/>
              <w:right w:type="dxa" w:w="100"/>
            </w:tcMar>
          </w:tcPr>
          <w:p>
            <w:pPr>
              <w:spacing w:after="0"/>
            </w:pPr>
            <w:r>
              <w:rPr>
                <w:b w:val="false"/>
                <w:bCs w:val="false"/>
                <w:i w:val="false"/>
                <w:iCs w:val="false"/>
                <w:sz w:val="17"/>
                <w:szCs w:val="17"/>
              </w:rPr>
              <w:t xml:space="preserve">Technicien diagnostic électronique</w:t>
            </w:r>
          </w:p>
        </w:tc>
        <w:tc>
          <w:tcPr>
            <w:tcW w:type="dxa" w:w="4140"/>
            <w:tcMar>
              <w:top w:type="dxa" w:w="60"/>
              <w:left w:type="dxa" w:w="100"/>
              <w:bottom w:type="dxa" w:w="60"/>
              <w:right w:type="dxa" w:w="100"/>
            </w:tcMar>
          </w:tcPr>
          <w:p>
            <w:pPr>
              <w:spacing w:after="0"/>
            </w:pPr>
            <w:r>
              <w:rPr>
                <w:b w:val="false"/>
                <w:bCs w:val="false"/>
                <w:i w:val="false"/>
                <w:iCs w:val="false"/>
                <w:sz w:val="17"/>
                <w:szCs w:val="17"/>
              </w:rPr>
              <w:t xml:space="preserve">250 000 – 400 000</w:t>
            </w:r>
          </w:p>
        </w:tc>
        <w:tc>
          <w:tcPr>
            <w:tcW w:type="dxa" w:w="6332"/>
            <w:tcMar>
              <w:top w:type="dxa" w:w="60"/>
              <w:left w:type="dxa" w:w="100"/>
              <w:bottom w:type="dxa" w:w="60"/>
              <w:right w:type="dxa" w:w="100"/>
            </w:tcMar>
          </w:tcPr>
          <w:p>
            <w:pPr>
              <w:spacing w:after="0"/>
            </w:pPr>
            <w:r>
              <w:rPr>
                <w:b w:val="false"/>
                <w:bCs w:val="false"/>
                <w:i w:val="false"/>
                <w:iCs w:val="false"/>
                <w:sz w:val="17"/>
                <w:szCs w:val="17"/>
              </w:rPr>
              <w:t xml:space="preserve">Au-dessus de la moyenne qualifiée à Bamako (160 000–250 000 FCFA), compte tenu de la rareté de la compétence</w:t>
            </w:r>
          </w:p>
        </w:tc>
      </w:tr>
      <w:tr>
        <w:tc>
          <w:tcPr>
            <w:tcW w:type="dxa" w:w="492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Mécanicien généraliste</w:t>
            </w:r>
          </w:p>
        </w:tc>
        <w:tc>
          <w:tcPr>
            <w:tcW w:type="dxa" w:w="414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100 000 – 180 000</w:t>
            </w:r>
          </w:p>
        </w:tc>
        <w:tc>
          <w:tcPr>
            <w:tcW w:type="dxa" w:w="633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Cohérent avec la fourchette des postes qualifiés formels à Bamako</w:t>
            </w:r>
          </w:p>
        </w:tc>
      </w:tr>
      <w:tr>
        <w:tc>
          <w:tcPr>
            <w:tcW w:type="dxa" w:w="4926"/>
            <w:tcMar>
              <w:top w:type="dxa" w:w="60"/>
              <w:left w:type="dxa" w:w="100"/>
              <w:bottom w:type="dxa" w:w="60"/>
              <w:right w:type="dxa" w:w="100"/>
            </w:tcMar>
          </w:tcPr>
          <w:p>
            <w:pPr>
              <w:spacing w:after="0"/>
            </w:pPr>
            <w:r>
              <w:rPr>
                <w:b w:val="false"/>
                <w:bCs w:val="false"/>
                <w:i w:val="false"/>
                <w:iCs w:val="false"/>
                <w:sz w:val="17"/>
                <w:szCs w:val="17"/>
              </w:rPr>
              <w:t xml:space="preserve">Accueil / gestion RDV</w:t>
            </w:r>
          </w:p>
        </w:tc>
        <w:tc>
          <w:tcPr>
            <w:tcW w:type="dxa" w:w="4140"/>
            <w:tcMar>
              <w:top w:type="dxa" w:w="60"/>
              <w:left w:type="dxa" w:w="100"/>
              <w:bottom w:type="dxa" w:w="60"/>
              <w:right w:type="dxa" w:w="100"/>
            </w:tcMar>
          </w:tcPr>
          <w:p>
            <w:pPr>
              <w:spacing w:after="0"/>
            </w:pPr>
            <w:r>
              <w:rPr>
                <w:b w:val="false"/>
                <w:bCs w:val="false"/>
                <w:i w:val="false"/>
                <w:iCs w:val="false"/>
                <w:sz w:val="17"/>
                <w:szCs w:val="17"/>
              </w:rPr>
              <w:t xml:space="preserve">0 – 150 000</w:t>
            </w:r>
          </w:p>
        </w:tc>
        <w:tc>
          <w:tcPr>
            <w:tcW w:type="dxa" w:w="6332"/>
            <w:tcMar>
              <w:top w:type="dxa" w:w="60"/>
              <w:left w:type="dxa" w:w="100"/>
              <w:bottom w:type="dxa" w:w="60"/>
              <w:right w:type="dxa" w:w="100"/>
            </w:tcMar>
          </w:tcPr>
          <w:p>
            <w:pPr>
              <w:spacing w:after="0"/>
            </w:pPr>
            <w:r>
              <w:rPr>
                <w:b w:val="false"/>
                <w:bCs w:val="false"/>
                <w:i w:val="false"/>
                <w:iCs w:val="false"/>
                <w:sz w:val="17"/>
                <w:szCs w:val="17"/>
              </w:rPr>
              <w:t xml:space="preserve">Selon que le porteur assure ce rôle lui-même au départ</w:t>
            </w:r>
          </w:p>
        </w:tc>
      </w:tr>
      <w:tr>
        <w:tc>
          <w:tcPr>
            <w:tcW w:type="dxa" w:w="492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Énergie (facture + carburant générateur de secours)</w:t>
            </w:r>
          </w:p>
        </w:tc>
        <w:tc>
          <w:tcPr>
            <w:tcW w:type="dxa" w:w="414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150 000 – 350 000</w:t>
            </w:r>
          </w:p>
        </w:tc>
        <w:tc>
          <w:tcPr>
            <w:tcW w:type="dxa" w:w="633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Poste volatil, dépendant de l'intensité des délestages — à budgéter large plutôt qu'optimiste</w:t>
            </w:r>
          </w:p>
        </w:tc>
      </w:tr>
      <w:tr>
        <w:tc>
          <w:tcPr>
            <w:tcW w:type="dxa" w:w="4926"/>
            <w:tcMar>
              <w:top w:type="dxa" w:w="60"/>
              <w:left w:type="dxa" w:w="100"/>
              <w:bottom w:type="dxa" w:w="60"/>
              <w:right w:type="dxa" w:w="100"/>
            </w:tcMar>
          </w:tcPr>
          <w:p>
            <w:pPr>
              <w:spacing w:after="0"/>
            </w:pPr>
            <w:r>
              <w:rPr>
                <w:b w:val="false"/>
                <w:bCs w:val="false"/>
                <w:i w:val="false"/>
                <w:iCs w:val="false"/>
                <w:sz w:val="17"/>
                <w:szCs w:val="17"/>
              </w:rPr>
              <w:t xml:space="preserve">Télécoms / internet</w:t>
            </w:r>
          </w:p>
        </w:tc>
        <w:tc>
          <w:tcPr>
            <w:tcW w:type="dxa" w:w="4140"/>
            <w:tcMar>
              <w:top w:type="dxa" w:w="60"/>
              <w:left w:type="dxa" w:w="100"/>
              <w:bottom w:type="dxa" w:w="60"/>
              <w:right w:type="dxa" w:w="100"/>
            </w:tcMar>
          </w:tcPr>
          <w:p>
            <w:pPr>
              <w:spacing w:after="0"/>
            </w:pPr>
            <w:r>
              <w:rPr>
                <w:b w:val="false"/>
                <w:bCs w:val="false"/>
                <w:i w:val="false"/>
                <w:iCs w:val="false"/>
                <w:sz w:val="17"/>
                <w:szCs w:val="17"/>
              </w:rPr>
              <w:t xml:space="preserve">25 000 – 50 000</w:t>
            </w:r>
          </w:p>
        </w:tc>
        <w:tc>
          <w:tcPr>
            <w:tcW w:type="dxa" w:w="6332"/>
            <w:tcMar>
              <w:top w:type="dxa" w:w="60"/>
              <w:left w:type="dxa" w:w="100"/>
              <w:bottom w:type="dxa" w:w="60"/>
              <w:right w:type="dxa" w:w="100"/>
            </w:tcMar>
          </w:tcPr>
          <w:p>
            <w:pPr>
              <w:spacing w:after="0"/>
            </w:pPr>
            <w:r>
              <w:rPr>
                <w:b w:val="false"/>
                <w:bCs w:val="false"/>
                <w:i w:val="false"/>
                <w:iCs w:val="false"/>
                <w:sz w:val="17"/>
                <w:szCs w:val="17"/>
              </w:rPr>
              <w:t xml:space="preserve">—</w:t>
            </w:r>
          </w:p>
        </w:tc>
      </w:tr>
      <w:tr>
        <w:tc>
          <w:tcPr>
            <w:tcW w:type="dxa" w:w="492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Marketing digital</w:t>
            </w:r>
          </w:p>
        </w:tc>
        <w:tc>
          <w:tcPr>
            <w:tcW w:type="dxa" w:w="414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50 000 – 100 000</w:t>
            </w:r>
          </w:p>
        </w:tc>
        <w:tc>
          <w:tcPr>
            <w:tcW w:type="dxa" w:w="633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Priorité aux canaux à faible coût (WhatsApp, réseaux sociaux)</w:t>
            </w:r>
          </w:p>
        </w:tc>
      </w:tr>
      <w:tr>
        <w:tc>
          <w:tcPr>
            <w:tcW w:type="dxa" w:w="4926"/>
            <w:tcMar>
              <w:top w:type="dxa" w:w="60"/>
              <w:left w:type="dxa" w:w="100"/>
              <w:bottom w:type="dxa" w:w="60"/>
              <w:right w:type="dxa" w:w="100"/>
            </w:tcMar>
          </w:tcPr>
          <w:p>
            <w:pPr>
              <w:spacing w:after="0"/>
            </w:pPr>
            <w:r>
              <w:rPr>
                <w:b w:val="false"/>
                <w:bCs w:val="false"/>
                <w:i w:val="false"/>
                <w:iCs w:val="false"/>
                <w:sz w:val="17"/>
                <w:szCs w:val="17"/>
              </w:rPr>
              <w:t xml:space="preserve">Assurance professionnelle</w:t>
            </w:r>
          </w:p>
        </w:tc>
        <w:tc>
          <w:tcPr>
            <w:tcW w:type="dxa" w:w="4140"/>
            <w:tcMar>
              <w:top w:type="dxa" w:w="60"/>
              <w:left w:type="dxa" w:w="100"/>
              <w:bottom w:type="dxa" w:w="60"/>
              <w:right w:type="dxa" w:w="100"/>
            </w:tcMar>
          </w:tcPr>
          <w:p>
            <w:pPr>
              <w:spacing w:after="0"/>
            </w:pPr>
            <w:r>
              <w:rPr>
                <w:b w:val="false"/>
                <w:bCs w:val="false"/>
                <w:i w:val="false"/>
                <w:iCs w:val="false"/>
                <w:sz w:val="17"/>
                <w:szCs w:val="17"/>
              </w:rPr>
              <w:t xml:space="preserve">30 000 – 80 000</w:t>
            </w:r>
          </w:p>
        </w:tc>
        <w:tc>
          <w:tcPr>
            <w:tcW w:type="dxa" w:w="6332"/>
            <w:tcMar>
              <w:top w:type="dxa" w:w="60"/>
              <w:left w:type="dxa" w:w="100"/>
              <w:bottom w:type="dxa" w:w="60"/>
              <w:right w:type="dxa" w:w="100"/>
            </w:tcMar>
          </w:tcPr>
          <w:p>
            <w:pPr>
              <w:spacing w:after="0"/>
            </w:pPr>
            <w:r>
              <w:rPr>
                <w:b w:val="false"/>
                <w:bCs w:val="false"/>
                <w:i w:val="false"/>
                <w:iCs w:val="false"/>
                <w:sz w:val="17"/>
                <w:szCs w:val="17"/>
              </w:rPr>
              <w:t xml:space="preserve">Responsabilité civile + locaux</w:t>
            </w:r>
          </w:p>
        </w:tc>
      </w:tr>
      <w:tr>
        <w:tc>
          <w:tcPr>
            <w:tcW w:type="dxa" w:w="492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Consommables / petit outillage</w:t>
            </w:r>
          </w:p>
        </w:tc>
        <w:tc>
          <w:tcPr>
            <w:tcW w:type="dxa" w:w="414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50 000 – 100 000</w:t>
            </w:r>
          </w:p>
        </w:tc>
        <w:tc>
          <w:tcPr>
            <w:tcW w:type="dxa" w:w="633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w:t>
            </w:r>
          </w:p>
        </w:tc>
      </w:tr>
      <w:tr>
        <w:tc>
          <w:tcPr>
            <w:tcW w:type="dxa" w:w="4926"/>
            <w:tcMar>
              <w:top w:type="dxa" w:w="60"/>
              <w:left w:type="dxa" w:w="100"/>
              <w:bottom w:type="dxa" w:w="60"/>
              <w:right w:type="dxa" w:w="100"/>
            </w:tcMar>
          </w:tcPr>
          <w:p>
            <w:pPr>
              <w:spacing w:after="0"/>
            </w:pPr>
            <w:r>
              <w:rPr>
                <w:b/>
                <w:bCs/>
                <w:i w:val="false"/>
                <w:iCs w:val="false"/>
                <w:sz w:val="17"/>
                <w:szCs w:val="17"/>
              </w:rPr>
              <w:t xml:space="preserve">Total charges fixes hors pièces</w:t>
            </w:r>
          </w:p>
        </w:tc>
        <w:tc>
          <w:tcPr>
            <w:tcW w:type="dxa" w:w="4140"/>
            <w:tcMar>
              <w:top w:type="dxa" w:w="60"/>
              <w:left w:type="dxa" w:w="100"/>
              <w:bottom w:type="dxa" w:w="60"/>
              <w:right w:type="dxa" w:w="100"/>
            </w:tcMar>
          </w:tcPr>
          <w:p>
            <w:pPr>
              <w:spacing w:after="0"/>
            </w:pPr>
            <w:r>
              <w:rPr>
                <w:b/>
                <w:bCs/>
                <w:i w:val="false"/>
                <w:iCs w:val="false"/>
                <w:sz w:val="17"/>
                <w:szCs w:val="17"/>
              </w:rPr>
              <w:t xml:space="preserve">≈ 655 000 – 1 410 000 / mois</w:t>
            </w:r>
          </w:p>
        </w:tc>
        <w:tc>
          <w:tcPr>
            <w:tcW w:type="dxa" w:w="6332"/>
            <w:tcMar>
              <w:top w:type="dxa" w:w="60"/>
              <w:left w:type="dxa" w:w="100"/>
              <w:bottom w:type="dxa" w:w="60"/>
              <w:right w:type="dxa" w:w="100"/>
            </w:tcMar>
          </w:tcPr>
          <w:p>
            <w:pPr>
              <w:spacing w:after="0"/>
            </w:pPr>
            <w:r>
              <w:rPr>
                <w:b w:val="false"/>
                <w:bCs w:val="false"/>
                <w:i w:val="false"/>
                <w:iCs w:val="false"/>
                <w:sz w:val="17"/>
                <w:szCs w:val="17"/>
              </w:rPr>
              <w:t xml:space="preserve">—</w:t>
            </w:r>
          </w:p>
        </w:tc>
      </w:tr>
    </w:tbl>
    <w:p>
      <w:pPr>
        <w:spacing w:after="200"/>
      </w:pPr>
    </w:p>
    <w:p>
      <w:pPr>
        <w:spacing w:after="160"/>
        <w:jc w:val="both"/>
      </w:pPr>
      <w:r>
        <w:rPr>
          <w:b w:val="false"/>
          <w:bCs w:val="false"/>
          <w:i w:val="false"/>
          <w:iCs w:val="false"/>
        </w:rPr>
        <w:t xml:space="preserve">Les </w:t>
      </w:r>
      <w:r>
        <w:rPr>
          <w:b/>
          <w:bCs/>
          <w:i w:val="false"/>
          <w:iCs w:val="false"/>
        </w:rPr>
        <w:t xml:space="preserve">pièces détachées</w:t>
      </w:r>
      <w:r>
        <w:rPr>
          <w:b w:val="false"/>
          <w:bCs w:val="false"/>
          <w:i w:val="false"/>
          <w:iCs w:val="false"/>
        </w:rPr>
        <w:t xml:space="preserve"> ne figurent pas dans les charges fixes : elles sont une charge variable directement liée au chiffre d'affaires réparation, à budgéter en proportion du CA (une fourchette de 40 à 55 % du CA réparation est un repère de secteur courant à ajuster avec des données locales — </w:t>
      </w:r>
      <w:r>
        <w:rPr>
          <w:b/>
          <w:bCs/>
          <w:i w:val="false"/>
          <w:iCs w:val="false"/>
        </w:rPr>
        <w:t xml:space="preserve">DONNÉE À VALIDER</w:t>
      </w:r>
      <w:r>
        <w:rPr>
          <w:b w:val="false"/>
          <w:bCs w:val="false"/>
          <w:i w:val="false"/>
          <w:iCs w:val="false"/>
        </w:rPr>
        <w:t xml:space="preserve">).</w:t>
      </w:r>
    </w:p>
    <w:p>
      <w:pPr>
        <w:pStyle w:val="Heading3"/>
        <w:spacing w:after="120" w:before="240"/>
      </w:pPr>
      <w:r>
        <w:rPr>
          <w:b w:val="false"/>
          <w:bCs w:val="false"/>
          <w:i w:val="false"/>
          <w:iCs w:val="false"/>
        </w:rPr>
        <w:t xml:space="preserve">4. Besoin en fonds de roulement (BFR)</w:t>
      </w:r>
    </w:p>
    <w:p>
      <w:pPr>
        <w:spacing w:after="160"/>
        <w:jc w:val="both"/>
      </w:pPr>
      <w:r>
        <w:rPr>
          <w:b w:val="false"/>
          <w:bCs w:val="false"/>
          <w:i w:val="false"/>
          <w:iCs w:val="false"/>
        </w:rPr>
        <w:t xml:space="preserve">Le BFR de démarrage doit a minima couvrir : un stock initial de pièces courantes à forte rotation (filtres, plaquettes, ampoules, consommables électriques), et une réserve de trésorerie de 3 mois de charges fixes pour absorber la montée en charge progressive de l'activité avant que les revenus ne couvrent les coûts. Sur la base des charges fixes ci-dessus, cela représente approximativement </w:t>
      </w:r>
      <w:r>
        <w:rPr>
          <w:b/>
          <w:bCs/>
          <w:i w:val="false"/>
          <w:iCs w:val="false"/>
        </w:rPr>
        <w:t xml:space="preserve">2 000 000 à 4 200 000 FCFA</w:t>
      </w:r>
      <w:r>
        <w:rPr>
          <w:b w:val="false"/>
          <w:bCs w:val="false"/>
          <w:i w:val="false"/>
          <w:iCs w:val="false"/>
        </w:rPr>
        <w:t xml:space="preserve"> </w:t>
      </w:r>
      <w:r>
        <w:rPr>
          <w:b w:val="false"/>
          <w:bCs w:val="false"/>
          <w:i/>
          <w:iCs/>
        </w:rPr>
        <w:t xml:space="preserve">(HYPOTHÈSE)</w:t>
      </w:r>
      <w:r>
        <w:rPr>
          <w:b w:val="false"/>
          <w:bCs w:val="false"/>
          <w:i w:val="false"/>
          <w:iCs w:val="false"/>
        </w:rPr>
        <w:t xml:space="preserve"> de réserve, en plus du CAPEX.</w:t>
      </w:r>
    </w:p>
    <w:p>
      <w:pPr>
        <w:pStyle w:val="Heading3"/>
        <w:spacing w:after="120" w:before="240"/>
      </w:pPr>
      <w:r>
        <w:rPr>
          <w:b w:val="false"/>
          <w:bCs w:val="false"/>
          <w:i w:val="false"/>
          <w:iCs w:val="false"/>
        </w:rPr>
        <w:t xml:space="preserve">5. Hypothèses financières de revenu</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866"/>
        <w:gridCol w:w="4810"/>
        <w:gridCol w:w="5722"/>
      </w:tblGrid>
      <w:tr>
        <w:trPr>
          <w:tblHeader/>
        </w:trPr>
        <w:tc>
          <w:tcPr>
            <w:tcW w:type="dxa" w:w="4866"/>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Prestation</w:t>
            </w:r>
          </w:p>
        </w:tc>
        <w:tc>
          <w:tcPr>
            <w:tcW w:type="dxa" w:w="4810"/>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Panier moyen hypothétique (FCFA)</w:t>
            </w:r>
          </w:p>
        </w:tc>
        <w:tc>
          <w:tcPr>
            <w:tcW w:type="dxa" w:w="5722"/>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Statut</w:t>
            </w:r>
          </w:p>
        </w:tc>
      </w:tr>
      <w:tr>
        <w:tc>
          <w:tcPr>
            <w:tcW w:type="dxa" w:w="4866"/>
            <w:tcMar>
              <w:top w:type="dxa" w:w="60"/>
              <w:left w:type="dxa" w:w="100"/>
              <w:bottom w:type="dxa" w:w="60"/>
              <w:right w:type="dxa" w:w="100"/>
            </w:tcMar>
          </w:tcPr>
          <w:p>
            <w:pPr>
              <w:spacing w:after="0"/>
            </w:pPr>
            <w:r>
              <w:rPr>
                <w:b w:val="false"/>
                <w:bCs w:val="false"/>
                <w:i w:val="false"/>
                <w:iCs w:val="false"/>
                <w:sz w:val="17"/>
                <w:szCs w:val="17"/>
              </w:rPr>
              <w:t xml:space="preserve">Diagnostic seul</w:t>
            </w:r>
          </w:p>
        </w:tc>
        <w:tc>
          <w:tcPr>
            <w:tcW w:type="dxa" w:w="4810"/>
            <w:tcMar>
              <w:top w:type="dxa" w:w="60"/>
              <w:left w:type="dxa" w:w="100"/>
              <w:bottom w:type="dxa" w:w="60"/>
              <w:right w:type="dxa" w:w="100"/>
            </w:tcMar>
          </w:tcPr>
          <w:p>
            <w:pPr>
              <w:spacing w:after="0"/>
            </w:pPr>
            <w:r>
              <w:rPr>
                <w:b w:val="false"/>
                <w:bCs w:val="false"/>
                <w:i w:val="false"/>
                <w:iCs w:val="false"/>
                <w:sz w:val="17"/>
                <w:szCs w:val="17"/>
              </w:rPr>
              <w:t xml:space="preserve">5 000 – 15 000</w:t>
            </w:r>
          </w:p>
        </w:tc>
        <w:tc>
          <w:tcPr>
            <w:tcW w:type="dxa" w:w="5722"/>
            <w:tcMar>
              <w:top w:type="dxa" w:w="60"/>
              <w:left w:type="dxa" w:w="100"/>
              <w:bottom w:type="dxa" w:w="60"/>
              <w:right w:type="dxa" w:w="100"/>
            </w:tcMar>
          </w:tcPr>
          <w:p>
            <w:pPr>
              <w:spacing w:after="0"/>
            </w:pPr>
            <w:r>
              <w:rPr>
                <w:b w:val="false"/>
                <w:bCs w:val="false"/>
                <w:i w:val="false"/>
                <w:iCs w:val="false"/>
                <w:sz w:val="17"/>
                <w:szCs w:val="17"/>
              </w:rPr>
              <w:t xml:space="preserve">Hypothèse critique n°1 à tester en priorité</w:t>
            </w:r>
          </w:p>
        </w:tc>
      </w:tr>
      <w:tr>
        <w:tc>
          <w:tcPr>
            <w:tcW w:type="dxa" w:w="486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Réparation courante (après diagnostic)</w:t>
            </w:r>
          </w:p>
        </w:tc>
        <w:tc>
          <w:tcPr>
            <w:tcW w:type="dxa" w:w="481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25 000 – 75 000</w:t>
            </w:r>
          </w:p>
        </w:tc>
        <w:tc>
          <w:tcPr>
            <w:tcW w:type="dxa" w:w="572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Cohérent avec un ticket de réparation classique, à ajuster</w:t>
            </w:r>
          </w:p>
        </w:tc>
      </w:tr>
      <w:tr>
        <w:tc>
          <w:tcPr>
            <w:tcW w:type="dxa" w:w="4866"/>
            <w:tcMar>
              <w:top w:type="dxa" w:w="60"/>
              <w:left w:type="dxa" w:w="100"/>
              <w:bottom w:type="dxa" w:w="60"/>
              <w:right w:type="dxa" w:w="100"/>
            </w:tcMar>
          </w:tcPr>
          <w:p>
            <w:pPr>
              <w:spacing w:after="0"/>
            </w:pPr>
            <w:r>
              <w:rPr>
                <w:b w:val="false"/>
                <w:bCs w:val="false"/>
                <w:i w:val="false"/>
                <w:iCs w:val="false"/>
                <w:sz w:val="17"/>
                <w:szCs w:val="17"/>
              </w:rPr>
              <w:t xml:space="preserve">Expertise avant achat</w:t>
            </w:r>
          </w:p>
        </w:tc>
        <w:tc>
          <w:tcPr>
            <w:tcW w:type="dxa" w:w="4810"/>
            <w:tcMar>
              <w:top w:type="dxa" w:w="60"/>
              <w:left w:type="dxa" w:w="100"/>
              <w:bottom w:type="dxa" w:w="60"/>
              <w:right w:type="dxa" w:w="100"/>
            </w:tcMar>
          </w:tcPr>
          <w:p>
            <w:pPr>
              <w:spacing w:after="0"/>
            </w:pPr>
            <w:r>
              <w:rPr>
                <w:b w:val="false"/>
                <w:bCs w:val="false"/>
                <w:i w:val="false"/>
                <w:iCs w:val="false"/>
                <w:sz w:val="17"/>
                <w:szCs w:val="17"/>
              </w:rPr>
              <w:t xml:space="preserve">15 000 – 30 000</w:t>
            </w:r>
          </w:p>
        </w:tc>
        <w:tc>
          <w:tcPr>
            <w:tcW w:type="dxa" w:w="5722"/>
            <w:tcMar>
              <w:top w:type="dxa" w:w="60"/>
              <w:left w:type="dxa" w:w="100"/>
              <w:bottom w:type="dxa" w:w="60"/>
              <w:right w:type="dxa" w:w="100"/>
            </w:tcMar>
          </w:tcPr>
          <w:p>
            <w:pPr>
              <w:spacing w:after="0"/>
            </w:pPr>
            <w:r>
              <w:rPr>
                <w:b w:val="false"/>
                <w:bCs w:val="false"/>
                <w:i w:val="false"/>
                <w:iCs w:val="false"/>
                <w:sz w:val="17"/>
                <w:szCs w:val="17"/>
              </w:rPr>
              <w:t xml:space="preserve">Prix premium justifié par l'enjeu pour le client</w:t>
            </w:r>
          </w:p>
        </w:tc>
      </w:tr>
      <w:tr>
        <w:tc>
          <w:tcPr>
            <w:tcW w:type="dxa" w:w="486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Intervention mobile/urgence</w:t>
            </w:r>
          </w:p>
        </w:tc>
        <w:tc>
          <w:tcPr>
            <w:tcW w:type="dxa" w:w="481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Majoration de 5 000 – 15 000 sur le tarif de base</w:t>
            </w:r>
          </w:p>
        </w:tc>
        <w:tc>
          <w:tcPr>
            <w:tcW w:type="dxa" w:w="5722"/>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À calibrer avec le coût réel du déplacement</w:t>
            </w:r>
          </w:p>
        </w:tc>
      </w:tr>
      <w:tr>
        <w:tc>
          <w:tcPr>
            <w:tcW w:type="dxa" w:w="4866"/>
            <w:tcMar>
              <w:top w:type="dxa" w:w="60"/>
              <w:left w:type="dxa" w:w="100"/>
              <w:bottom w:type="dxa" w:w="60"/>
              <w:right w:type="dxa" w:w="100"/>
            </w:tcMar>
          </w:tcPr>
          <w:p>
            <w:pPr>
              <w:spacing w:after="0"/>
            </w:pPr>
            <w:r>
              <w:rPr>
                <w:b w:val="false"/>
                <w:bCs w:val="false"/>
                <w:i w:val="false"/>
                <w:iCs w:val="false"/>
                <w:sz w:val="17"/>
                <w:szCs w:val="17"/>
              </w:rPr>
              <w:t xml:space="preserve">Contrat B2B flotte (forfait mensuel de suivi, hors intervention)</w:t>
            </w:r>
          </w:p>
        </w:tc>
        <w:tc>
          <w:tcPr>
            <w:tcW w:type="dxa" w:w="4810"/>
            <w:tcMar>
              <w:top w:type="dxa" w:w="60"/>
              <w:left w:type="dxa" w:w="100"/>
              <w:bottom w:type="dxa" w:w="60"/>
              <w:right w:type="dxa" w:w="100"/>
            </w:tcMar>
          </w:tcPr>
          <w:p>
            <w:pPr>
              <w:spacing w:after="0"/>
            </w:pPr>
            <w:r>
              <w:rPr>
                <w:b w:val="false"/>
                <w:bCs w:val="false"/>
                <w:i w:val="false"/>
                <w:iCs w:val="false"/>
                <w:sz w:val="17"/>
                <w:szCs w:val="17"/>
              </w:rPr>
              <w:t xml:space="preserve">25 000 – 75 000 / véhicule / mois selon volume</w:t>
            </w:r>
          </w:p>
        </w:tc>
        <w:tc>
          <w:tcPr>
            <w:tcW w:type="dxa" w:w="5722"/>
            <w:tcMar>
              <w:top w:type="dxa" w:w="60"/>
              <w:left w:type="dxa" w:w="100"/>
              <w:bottom w:type="dxa" w:w="60"/>
              <w:right w:type="dxa" w:w="100"/>
            </w:tcMar>
          </w:tcPr>
          <w:p>
            <w:pPr>
              <w:spacing w:after="0"/>
            </w:pPr>
            <w:r>
              <w:rPr>
                <w:b w:val="false"/>
                <w:bCs w:val="false"/>
                <w:i w:val="false"/>
                <w:iCs w:val="false"/>
                <w:sz w:val="17"/>
                <w:szCs w:val="17"/>
              </w:rPr>
              <w:t xml:space="preserve">À négocier avec les premiers clients pilotes</w:t>
            </w:r>
          </w:p>
        </w:tc>
      </w:tr>
    </w:tbl>
    <w:p>
      <w:pPr>
        <w:spacing w:after="200"/>
      </w:pPr>
    </w:p>
    <w:p>
      <w:pPr>
        <w:pStyle w:val="Heading3"/>
        <w:spacing w:after="120" w:before="240"/>
      </w:pPr>
      <w:r>
        <w:rPr>
          <w:b w:val="false"/>
          <w:bCs w:val="false"/>
          <w:i w:val="false"/>
          <w:iCs w:val="false"/>
        </w:rPr>
        <w:t xml:space="preserve">6. Seuil de rentabilité — logique de calcul</w:t>
      </w:r>
    </w:p>
    <w:p>
      <w:pPr>
        <w:spacing w:after="160"/>
        <w:jc w:val="both"/>
      </w:pPr>
      <w:r>
        <w:rPr>
          <w:b w:val="false"/>
          <w:bCs w:val="false"/>
          <w:i w:val="false"/>
          <w:iCs w:val="false"/>
        </w:rPr>
        <w:t xml:space="preserve">Avec des charges fixes hypothétiques d'environ </w:t>
      </w:r>
      <w:r>
        <w:rPr>
          <w:b/>
          <w:bCs/>
          <w:i w:val="false"/>
          <w:iCs w:val="false"/>
        </w:rPr>
        <w:t xml:space="preserve">1 000 000 FCFA/mois</w:t>
      </w:r>
      <w:r>
        <w:rPr>
          <w:b w:val="false"/>
          <w:bCs w:val="false"/>
          <w:i w:val="false"/>
          <w:iCs w:val="false"/>
        </w:rPr>
        <w:t xml:space="preserve"> (point médian de la fourchette ci-dessus, équipe minimale) et un panier moyen mixte hypothétique d'environ </w:t>
      </w:r>
      <w:r>
        <w:rPr>
          <w:b/>
          <w:bCs/>
          <w:i w:val="false"/>
          <w:iCs w:val="false"/>
        </w:rPr>
        <w:t xml:space="preserve">35 000 FCFA</w:t>
      </w:r>
      <w:r>
        <w:rPr>
          <w:b w:val="false"/>
          <w:bCs w:val="false"/>
          <w:i w:val="false"/>
          <w:iCs w:val="false"/>
        </w:rPr>
        <w:t xml:space="preserve"> par intervention payante (mélange diagnostic + réparation), le seuil de rentabilité opérationnel se situerait autour de </w:t>
      </w:r>
      <w:r>
        <w:rPr>
          <w:b/>
          <w:bCs/>
          <w:i w:val="false"/>
          <w:iCs w:val="false"/>
        </w:rPr>
        <w:t xml:space="preserve">29 interventions payantes par mois, soit environ 1 à 2 par jour ouvré</w:t>
      </w:r>
      <w:r>
        <w:rPr>
          <w:b w:val="false"/>
          <w:bCs w:val="false"/>
          <w:i w:val="false"/>
          <w:iCs w:val="false"/>
        </w:rPr>
        <w:t xml:space="preserve"> </w:t>
      </w:r>
      <w:r>
        <w:rPr>
          <w:b w:val="false"/>
          <w:bCs w:val="false"/>
          <w:i/>
          <w:iCs/>
        </w:rPr>
        <w:t xml:space="preserve">(HYPOTHÈSE — calcul illustratif uniquement)</w:t>
      </w:r>
      <w:r>
        <w:rPr>
          <w:b w:val="false"/>
          <w:bCs w:val="false"/>
          <w:i w:val="false"/>
          <w:iCs w:val="false"/>
        </w:rPr>
        <w:t xml:space="preserve">. Ce chiffre doit être recalculé dès que les premiers devis CAPEX/OPEX réels et les premiers prix testés sur le terrain seront disponibles ; il donne un ordre de grandeur d'objectif commercial, pas un engagement financier.</w:t>
      </w:r>
    </w:p>
    <w:p>
      <w:pPr>
        <w:pStyle w:val="Heading3"/>
        <w:spacing w:after="120" w:before="240"/>
      </w:pPr>
      <w:r>
        <w:rPr>
          <w:b w:val="false"/>
          <w:bCs w:val="false"/>
          <w:i w:val="false"/>
          <w:iCs w:val="false"/>
        </w:rPr>
        <w:t xml:space="preserve">7. Scénarios (première année, illustratifs)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946"/>
        <w:gridCol w:w="2590"/>
        <w:gridCol w:w="4534"/>
        <w:gridCol w:w="6328"/>
      </w:tblGrid>
      <w:tr>
        <w:trPr>
          <w:tblHeader/>
        </w:trPr>
        <w:tc>
          <w:tcPr>
            <w:tcW w:type="dxa" w:w="1946"/>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Scénario</w:t>
            </w:r>
          </w:p>
        </w:tc>
        <w:tc>
          <w:tcPr>
            <w:tcW w:type="dxa" w:w="2590"/>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Interventions payantes / mois (moyenne année 1)</w:t>
            </w:r>
          </w:p>
        </w:tc>
        <w:tc>
          <w:tcPr>
            <w:tcW w:type="dxa" w:w="4534"/>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CA mensuel moyen estimé</w:t>
            </w:r>
          </w:p>
        </w:tc>
        <w:tc>
          <w:tcPr>
            <w:tcW w:type="dxa" w:w="6328"/>
            <w:shd w:fill="1F3864" w:color="auto" w:val="clear"/>
            <w:tcMar>
              <w:top w:type="dxa" w:w="70"/>
              <w:left w:type="dxa" w:w="100"/>
              <w:bottom w:type="dxa" w:w="70"/>
              <w:right w:type="dxa" w:w="100"/>
            </w:tcMar>
          </w:tcPr>
          <w:p>
            <w:pPr>
              <w:spacing w:after="0"/>
            </w:pPr>
            <w:r>
              <w:rPr>
                <w:b/>
                <w:bCs/>
                <w:i w:val="false"/>
                <w:iCs w:val="false"/>
                <w:color w:val="FFFFFF"/>
                <w:sz w:val="17"/>
                <w:szCs w:val="17"/>
              </w:rPr>
              <w:t xml:space="preserve">Commentaire</w:t>
            </w:r>
          </w:p>
        </w:tc>
      </w:tr>
      <w:tr>
        <w:tc>
          <w:tcPr>
            <w:tcW w:type="dxa" w:w="1946"/>
            <w:tcMar>
              <w:top w:type="dxa" w:w="60"/>
              <w:left w:type="dxa" w:w="100"/>
              <w:bottom w:type="dxa" w:w="60"/>
              <w:right w:type="dxa" w:w="100"/>
            </w:tcMar>
          </w:tcPr>
          <w:p>
            <w:pPr>
              <w:spacing w:after="0"/>
            </w:pPr>
            <w:r>
              <w:rPr>
                <w:b w:val="false"/>
                <w:bCs w:val="false"/>
                <w:i w:val="false"/>
                <w:iCs w:val="false"/>
                <w:sz w:val="17"/>
                <w:szCs w:val="17"/>
              </w:rPr>
              <w:t xml:space="preserve">Pessimiste</w:t>
            </w:r>
          </w:p>
        </w:tc>
        <w:tc>
          <w:tcPr>
            <w:tcW w:type="dxa" w:w="2590"/>
            <w:tcMar>
              <w:top w:type="dxa" w:w="60"/>
              <w:left w:type="dxa" w:w="100"/>
              <w:bottom w:type="dxa" w:w="60"/>
              <w:right w:type="dxa" w:w="100"/>
            </w:tcMar>
          </w:tcPr>
          <w:p>
            <w:pPr>
              <w:spacing w:after="0"/>
            </w:pPr>
            <w:r>
              <w:rPr>
                <w:b w:val="false"/>
                <w:bCs w:val="false"/>
                <w:i w:val="false"/>
                <w:iCs w:val="false"/>
                <w:sz w:val="17"/>
                <w:szCs w:val="17"/>
              </w:rPr>
              <w:t xml:space="preserve">15–20</w:t>
            </w:r>
          </w:p>
        </w:tc>
        <w:tc>
          <w:tcPr>
            <w:tcW w:type="dxa" w:w="4534"/>
            <w:tcMar>
              <w:top w:type="dxa" w:w="60"/>
              <w:left w:type="dxa" w:w="100"/>
              <w:bottom w:type="dxa" w:w="60"/>
              <w:right w:type="dxa" w:w="100"/>
            </w:tcMar>
          </w:tcPr>
          <w:p>
            <w:pPr>
              <w:spacing w:after="0"/>
            </w:pPr>
            <w:r>
              <w:rPr>
                <w:b w:val="false"/>
                <w:bCs w:val="false"/>
                <w:i w:val="false"/>
                <w:iCs w:val="false"/>
                <w:sz w:val="17"/>
                <w:szCs w:val="17"/>
              </w:rPr>
              <w:t xml:space="preserve">En dessous du seuil de rentabilité</w:t>
            </w:r>
          </w:p>
        </w:tc>
        <w:tc>
          <w:tcPr>
            <w:tcW w:type="dxa" w:w="6328"/>
            <w:tcMar>
              <w:top w:type="dxa" w:w="60"/>
              <w:left w:type="dxa" w:w="100"/>
              <w:bottom w:type="dxa" w:w="60"/>
              <w:right w:type="dxa" w:w="100"/>
            </w:tcMar>
          </w:tcPr>
          <w:p>
            <w:pPr>
              <w:spacing w:after="0"/>
            </w:pPr>
            <w:r>
              <w:rPr>
                <w:b w:val="false"/>
                <w:bCs w:val="false"/>
                <w:i w:val="false"/>
                <w:iCs w:val="false"/>
                <w:sz w:val="17"/>
                <w:szCs w:val="17"/>
              </w:rPr>
              <w:t xml:space="preserve">Nécessite un financement de trésorerie relais ou une réduction rapide des charges fixes (report d'un recrutement)</w:t>
            </w:r>
          </w:p>
        </w:tc>
      </w:tr>
      <w:tr>
        <w:tc>
          <w:tcPr>
            <w:tcW w:type="dxa" w:w="1946"/>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Réaliste</w:t>
            </w:r>
          </w:p>
        </w:tc>
        <w:tc>
          <w:tcPr>
            <w:tcW w:type="dxa" w:w="2590"/>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25–35</w:t>
            </w:r>
          </w:p>
        </w:tc>
        <w:tc>
          <w:tcPr>
            <w:tcW w:type="dxa" w:w="4534"/>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Autour ou légèrement au-dessus du seuil de rentabilité</w:t>
            </w:r>
          </w:p>
        </w:tc>
        <w:tc>
          <w:tcPr>
            <w:tcW w:type="dxa" w:w="6328"/>
            <w:shd w:fill="F2F2F2" w:color="auto" w:val="clear"/>
            <w:tcMar>
              <w:top w:type="dxa" w:w="60"/>
              <w:left w:type="dxa" w:w="100"/>
              <w:bottom w:type="dxa" w:w="60"/>
              <w:right w:type="dxa" w:w="100"/>
            </w:tcMar>
          </w:tcPr>
          <w:p>
            <w:pPr>
              <w:spacing w:after="0"/>
            </w:pPr>
            <w:r>
              <w:rPr>
                <w:b w:val="false"/>
                <w:bCs w:val="false"/>
                <w:i w:val="false"/>
                <w:iCs w:val="false"/>
                <w:sz w:val="17"/>
                <w:szCs w:val="17"/>
              </w:rPr>
              <w:t xml:space="preserve">Rentabilité opérationnelle atteinte en cours d'année 1, sous réserve de la montée en confiance progressive du marché</w:t>
            </w:r>
          </w:p>
        </w:tc>
      </w:tr>
      <w:tr>
        <w:tc>
          <w:tcPr>
            <w:tcW w:type="dxa" w:w="1946"/>
            <w:tcMar>
              <w:top w:type="dxa" w:w="60"/>
              <w:left w:type="dxa" w:w="100"/>
              <w:bottom w:type="dxa" w:w="60"/>
              <w:right w:type="dxa" w:w="100"/>
            </w:tcMar>
          </w:tcPr>
          <w:p>
            <w:pPr>
              <w:spacing w:after="0"/>
            </w:pPr>
            <w:r>
              <w:rPr>
                <w:b w:val="false"/>
                <w:bCs w:val="false"/>
                <w:i w:val="false"/>
                <w:iCs w:val="false"/>
                <w:sz w:val="17"/>
                <w:szCs w:val="17"/>
              </w:rPr>
              <w:t xml:space="preserve">Optimiste</w:t>
            </w:r>
          </w:p>
        </w:tc>
        <w:tc>
          <w:tcPr>
            <w:tcW w:type="dxa" w:w="2590"/>
            <w:tcMar>
              <w:top w:type="dxa" w:w="60"/>
              <w:left w:type="dxa" w:w="100"/>
              <w:bottom w:type="dxa" w:w="60"/>
              <w:right w:type="dxa" w:w="100"/>
            </w:tcMar>
          </w:tcPr>
          <w:p>
            <w:pPr>
              <w:spacing w:after="0"/>
            </w:pPr>
            <w:r>
              <w:rPr>
                <w:b w:val="false"/>
                <w:bCs w:val="false"/>
                <w:i w:val="false"/>
                <w:iCs w:val="false"/>
                <w:sz w:val="17"/>
                <w:szCs w:val="17"/>
              </w:rPr>
              <w:t xml:space="preserve">45–60</w:t>
            </w:r>
          </w:p>
        </w:tc>
        <w:tc>
          <w:tcPr>
            <w:tcW w:type="dxa" w:w="4534"/>
            <w:tcMar>
              <w:top w:type="dxa" w:w="60"/>
              <w:left w:type="dxa" w:w="100"/>
              <w:bottom w:type="dxa" w:w="60"/>
              <w:right w:type="dxa" w:w="100"/>
            </w:tcMar>
          </w:tcPr>
          <w:p>
            <w:pPr>
              <w:spacing w:after="0"/>
            </w:pPr>
            <w:r>
              <w:rPr>
                <w:b w:val="false"/>
                <w:bCs w:val="false"/>
                <w:i w:val="false"/>
                <w:iCs w:val="false"/>
                <w:sz w:val="17"/>
                <w:szCs w:val="17"/>
              </w:rPr>
              <w:t xml:space="preserve">Nettement au-dessus du seuil, porté notamment par 1 à 2 contrats B2B signés tôt</w:t>
            </w:r>
          </w:p>
        </w:tc>
        <w:tc>
          <w:tcPr>
            <w:tcW w:type="dxa" w:w="6328"/>
            <w:tcMar>
              <w:top w:type="dxa" w:w="60"/>
              <w:left w:type="dxa" w:w="100"/>
              <w:bottom w:type="dxa" w:w="60"/>
              <w:right w:type="dxa" w:w="100"/>
            </w:tcMar>
          </w:tcPr>
          <w:p>
            <w:pPr>
              <w:spacing w:after="0"/>
            </w:pPr>
            <w:r>
              <w:rPr>
                <w:b w:val="false"/>
                <w:bCs w:val="false"/>
                <w:i w:val="false"/>
                <w:iCs w:val="false"/>
                <w:sz w:val="17"/>
                <w:szCs w:val="17"/>
              </w:rPr>
              <w:t xml:space="preserve">Suppose une conversion B2B plus rapide que la moyenne du secteur, à ne pas intégrer comme hypothèse de base du plan de financement</w:t>
            </w:r>
          </w:p>
        </w:tc>
      </w:tr>
    </w:tbl>
    <w:p>
      <w:pPr>
        <w:spacing w:after="200"/>
      </w:pPr>
    </w:p>
    <w:p>
      <w:pPr>
        <w:spacing w:after="160"/>
        <w:jc w:val="both"/>
      </w:pPr>
      <w:r>
        <w:rPr>
          <w:b/>
          <w:bCs/>
          <w:i w:val="false"/>
          <w:iCs w:val="false"/>
        </w:rPr>
        <w:t xml:space="preserve">Recommandation :</w:t>
      </w:r>
      <w:r>
        <w:rPr>
          <w:b w:val="false"/>
          <w:bCs w:val="false"/>
          <w:i w:val="false"/>
          <w:iCs w:val="false"/>
        </w:rPr>
        <w:t xml:space="preserve"> construire le plan de trésorerie sur le scénario réaliste, en gardant le scénario pessimiste comme test de résistance (le CAPEX et les engagements de charges fixes doivent rester supportables même si le scénario pessimiste se réalise pendant les 6 premiers mois).</w:t>
      </w:r>
    </w:p>
    <w:p>
      <w:pPr>
        <w:spacing w:after="160"/>
        <w:jc w:val="both"/>
      </w:pPr>
      <w:r>
        <w:rPr>
          <w:b w:val="false"/>
          <w:bCs w:val="false"/>
          <w:i/>
          <w:iCs/>
        </w:rPr>
        <w:t xml:space="preserve">Si utile, ce cadre financier peut être transformé en modèle Excel interactif (avec formules liées, pour que le porteur ajuste lui-même les hypothèses de prix et de volume) — proposition à la fin de ce document.</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IX. Stratégie commerciale et marketing </w:t>
      </w:r>
      <w:r>
        <w:rPr>
          <w:b w:val="false"/>
          <w:bCs w:val="false"/>
          <w:i/>
          <w:iCs/>
        </w:rPr>
        <w:t xml:space="preserve">(points 37–41)</w:t>
      </w:r>
    </w:p>
    <w:p>
      <w:pPr>
        <w:pStyle w:val="Heading3"/>
        <w:spacing w:after="120" w:before="240"/>
      </w:pPr>
      <w:r>
        <w:rPr>
          <w:b w:val="false"/>
          <w:bCs w:val="false"/>
          <w:i w:val="false"/>
          <w:iCs w:val="false"/>
        </w:rPr>
        <w:t xml:space="preserve">1. Stratégie commerciale</w:t>
      </w:r>
    </w:p>
    <w:p>
      <w:pPr>
        <w:spacing w:after="160"/>
        <w:jc w:val="both"/>
      </w:pPr>
      <w:r>
        <w:rPr>
          <w:b w:val="false"/>
          <w:bCs w:val="false"/>
          <w:i w:val="false"/>
          <w:iCs w:val="false"/>
        </w:rPr>
        <w:t xml:space="preserve">Séquencement recommandé, cohérent avec les early adopters priorisés en Phase 1 : démarchage direct des gestionnaires de flotte ONG/entreprises (profil 1) en parallèle du lancement grand public ciblant les acheteurs d'occasion (profil 2) via les points de contact naturels du marché de l'occasion (vendeurs, plateformes d'annonces comme celles référencées localement).</w:t>
      </w:r>
    </w:p>
    <w:p>
      <w:pPr>
        <w:pStyle w:val="Heading3"/>
        <w:spacing w:after="120" w:before="240"/>
      </w:pPr>
      <w:r>
        <w:rPr>
          <w:b w:val="false"/>
          <w:bCs w:val="false"/>
          <w:i w:val="false"/>
          <w:iCs w:val="false"/>
        </w:rPr>
        <w:t xml:space="preserve">2. Marketing</w:t>
      </w:r>
    </w:p>
    <w:p>
      <w:pPr>
        <w:spacing w:after="160"/>
        <w:jc w:val="both"/>
      </w:pPr>
      <w:r>
        <w:rPr>
          <w:b w:val="false"/>
          <w:bCs w:val="false"/>
          <w:i w:val="false"/>
          <w:iCs w:val="false"/>
        </w:rPr>
        <w:t xml:space="preserve">Priorité aux canaux à faible coût et forte pertinence locale : WhatsApp Business (catalogue, statuts), Facebook (portée large, adoption confirmée par les internautes maliens), TikTok/Instagram en second temps pour toucher la tranche 18-34 ans, majoritaire parmi les internautes du pays. Le contenu le plus efficace attendu n'est pas publicitaire mais démonstratif : exemples anonymisés de rapports de diagnostic, témoignages clients filmés, avant/après d'interventions — un contenu qui matérialise la promesse plutôt que de l'affirmer.</w:t>
      </w:r>
    </w:p>
    <w:p>
      <w:pPr>
        <w:pStyle w:val="Heading3"/>
        <w:spacing w:after="120" w:before="240"/>
      </w:pPr>
      <w:r>
        <w:rPr>
          <w:b w:val="false"/>
          <w:bCs w:val="false"/>
          <w:i w:val="false"/>
          <w:iCs w:val="false"/>
        </w:rPr>
        <w:t xml:space="preserve">3. Acquisition client</w:t>
      </w:r>
    </w:p>
    <w:p>
      <w:pPr>
        <w:spacing w:after="160"/>
        <w:jc w:val="both"/>
      </w:pPr>
      <w:r>
        <w:rPr>
          <w:b w:val="false"/>
          <w:bCs w:val="false"/>
          <w:i w:val="false"/>
          <w:iCs w:val="false"/>
        </w:rPr>
        <w:t xml:space="preserve">Le bouche-à-oreille reste, dans ce secteur, le canal de confiance dominant — la stratégie d'acquisition doit donc être pensée comme un accélérateur du bouche-à-oreille (inciter au partage après une expérience positive, faciliter la recommandation via un lien WhatsApp direct) plutôt que comme un substitut à celui-ci.</w:t>
      </w:r>
    </w:p>
    <w:p>
      <w:pPr>
        <w:pStyle w:val="Heading3"/>
        <w:spacing w:after="120" w:before="240"/>
      </w:pPr>
      <w:r>
        <w:rPr>
          <w:b w:val="false"/>
          <w:bCs w:val="false"/>
          <w:i w:val="false"/>
          <w:iCs w:val="false"/>
        </w:rPr>
        <w:t xml:space="preserve">4. Partenariats</w:t>
      </w:r>
    </w:p>
    <w:p>
      <w:pPr>
        <w:spacing w:after="160"/>
        <w:jc w:val="both"/>
      </w:pPr>
      <w:r>
        <w:rPr>
          <w:b w:val="false"/>
          <w:bCs w:val="false"/>
          <w:i w:val="false"/>
          <w:iCs w:val="false"/>
        </w:rPr>
        <w:t xml:space="preserve">Pistes à explorer, par ordre de facilité de mise en œuvre : vendeurs de véhicules d'occasion et petites agences (pour l'expertise avant achat, en model B2B2C), concessionnaires (sous-traitance de diagnostics hors garantie ou hors marque), assurances (expertise après sinistre, partenariat plus long à construire), stations-service (visibilité croisée, faible engagement).</w:t>
      </w:r>
    </w:p>
    <w:p>
      <w:pPr>
        <w:pStyle w:val="Heading3"/>
        <w:spacing w:after="120" w:before="240"/>
      </w:pPr>
      <w:r>
        <w:rPr>
          <w:b w:val="false"/>
          <w:bCs w:val="false"/>
          <w:i w:val="false"/>
          <w:iCs w:val="false"/>
        </w:rPr>
        <w:t xml:space="preserve">5. Stratégie B2B</w:t>
      </w:r>
    </w:p>
    <w:p>
      <w:pPr>
        <w:spacing w:after="160"/>
        <w:jc w:val="both"/>
      </w:pPr>
      <w:r>
        <w:rPr>
          <w:b w:val="false"/>
          <w:bCs w:val="false"/>
          <w:i w:val="false"/>
          <w:iCs w:val="false"/>
        </w:rPr>
        <w:t xml:space="preserve">Approche recommandée : contrat pilote gratuit ou à tarif réduit sur un nombre limité de véhicules (2 à 5) pour un premier client B2B, avec engagement de reporting mensuel démontrant la valeur (coûts évités, pannes anticipées). Ce premier contrat pilote, s'il est réussi, devient l'argument commercial principal pour convaincre les clients B2B suivants — plus puissant qu'une plaquette commerciale.</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X. Qualité et procédures opérationnelles </w:t>
      </w:r>
      <w:r>
        <w:rPr>
          <w:b w:val="false"/>
          <w:bCs w:val="false"/>
          <w:i/>
          <w:iCs/>
        </w:rPr>
        <w:t xml:space="preserve">(points 42–48)</w:t>
      </w:r>
    </w:p>
    <w:p>
      <w:pPr>
        <w:pStyle w:val="Heading3"/>
        <w:spacing w:after="120" w:before="240"/>
      </w:pPr>
      <w:r>
        <w:rPr>
          <w:b w:val="false"/>
          <w:bCs w:val="false"/>
          <w:i w:val="false"/>
          <w:iCs w:val="false"/>
        </w:rPr>
        <w:t xml:space="preserve">1. Gestion de la qualité</w:t>
      </w:r>
    </w:p>
    <w:p>
      <w:pPr>
        <w:spacing w:after="160"/>
        <w:jc w:val="both"/>
      </w:pPr>
      <w:r>
        <w:rPr>
          <w:b w:val="false"/>
          <w:bCs w:val="false"/>
          <w:i w:val="false"/>
          <w:iCs w:val="false"/>
        </w:rPr>
        <w:t xml:space="preserve">Le contrôle qualité central du modèle CHICANO est le respect systématique de l'architecture diagnostic → rapport → devis (section VI.2). Concrètement : aucune intervention facturée sans rapport de diagnostic associé, contrôle a posteriori (même informel au départ) par le porteur ou le technicien senior sur un échantillon d'interventions.</w:t>
      </w:r>
    </w:p>
    <w:p>
      <w:pPr>
        <w:pStyle w:val="Heading3"/>
        <w:spacing w:after="120" w:before="240"/>
      </w:pPr>
      <w:r>
        <w:rPr>
          <w:b w:val="false"/>
          <w:bCs w:val="false"/>
          <w:i w:val="false"/>
          <w:iCs w:val="false"/>
        </w:rPr>
        <w:t xml:space="preserve">2. Procédures opérationnelles</w:t>
      </w:r>
    </w:p>
    <w:p>
      <w:pPr>
        <w:spacing w:after="160"/>
        <w:jc w:val="both"/>
      </w:pPr>
      <w:r>
        <w:rPr>
          <w:b w:val="false"/>
          <w:bCs w:val="false"/>
          <w:i w:val="false"/>
          <w:iCs w:val="false"/>
        </w:rPr>
        <w:t xml:space="preserve">À formaliser progressivement, sans excès de bureaucratie au lancement : fiche de prise en charge véhicule (état des lieux photo à l'arrivée), fiche de diagnostic type, fiche de devis type, fiche de contrôle final avant restitution.</w:t>
      </w:r>
    </w:p>
    <w:p>
      <w:pPr>
        <w:pStyle w:val="Heading3"/>
        <w:spacing w:after="120" w:before="240"/>
      </w:pPr>
      <w:r>
        <w:rPr>
          <w:b w:val="false"/>
          <w:bCs w:val="false"/>
          <w:i w:val="false"/>
          <w:iCs w:val="false"/>
        </w:rPr>
        <w:t xml:space="preserve">3. Gestion des pièces</w:t>
      </w:r>
    </w:p>
    <w:p>
      <w:pPr>
        <w:spacing w:after="160"/>
        <w:jc w:val="both"/>
      </w:pPr>
      <w:r>
        <w:rPr>
          <w:b w:val="false"/>
          <w:bCs w:val="false"/>
          <w:i w:val="false"/>
          <w:iCs w:val="false"/>
        </w:rPr>
        <w:t xml:space="preserve">Point de vigilance déjà identifié en Phase 1 : risque de contrefaçon sur le marché ouest-africain des pièces détachées. Recommandation : constituer une liste restreinte de fournisseurs de confiance dès le départ, documenter la provenance des pièces critiques (freinage, direction), et être transparent avec le client sur l'origine des pièces proposées (original/équivalent qualité/moins cher) plutôt que de la dissimuler — cohérent avec la promesse de transparence de la marque.</w:t>
      </w:r>
    </w:p>
    <w:p>
      <w:pPr>
        <w:pStyle w:val="Heading3"/>
        <w:spacing w:after="120" w:before="240"/>
      </w:pPr>
      <w:r>
        <w:rPr>
          <w:b w:val="false"/>
          <w:bCs w:val="false"/>
          <w:i w:val="false"/>
          <w:iCs w:val="false"/>
        </w:rPr>
        <w:t xml:space="preserve">4. Gestion des rendez-vous</w:t>
      </w:r>
    </w:p>
    <w:p>
      <w:pPr>
        <w:spacing w:after="160"/>
        <w:jc w:val="both"/>
      </w:pPr>
      <w:r>
        <w:rPr>
          <w:b w:val="false"/>
          <w:bCs w:val="false"/>
          <w:i w:val="false"/>
          <w:iCs w:val="false"/>
        </w:rPr>
        <w:t xml:space="preserve">Via WhatsApp Business dans un premier temps (créneaux proposés manuellement), avec un objectif de confirmation sous quelques heures pour ne pas perdre le client au profit d'un concurrent plus réactif — la rapidité de réponse est, dans ce secteur, un facteur de conversion aussi important que le prix.</w:t>
      </w:r>
    </w:p>
    <w:p>
      <w:pPr>
        <w:pStyle w:val="Heading3"/>
        <w:spacing w:after="120" w:before="240"/>
      </w:pPr>
      <w:r>
        <w:rPr>
          <w:b w:val="false"/>
          <w:bCs w:val="false"/>
          <w:i w:val="false"/>
          <w:iCs w:val="false"/>
        </w:rPr>
        <w:t xml:space="preserve">5. Gestion des interventions</w:t>
      </w:r>
    </w:p>
    <w:p>
      <w:pPr>
        <w:spacing w:after="160"/>
        <w:jc w:val="both"/>
      </w:pPr>
      <w:r>
        <w:rPr>
          <w:b w:val="false"/>
          <w:bCs w:val="false"/>
          <w:i w:val="false"/>
          <w:iCs w:val="false"/>
        </w:rPr>
        <w:t xml:space="preserve">Planification quotidienne simple (tableau des rendez-vous du jour, priorité aux urgences), avec un principe de non-superposition : un véhicule ne doit pas être pris en charge tant que le précédent n'a pas terminé son cycle diagnostic → rapport → devis, pour ne pas diluer la rigueur du processus sous la pression du volume.</w:t>
      </w:r>
    </w:p>
    <w:p>
      <w:pPr>
        <w:pStyle w:val="Heading3"/>
        <w:spacing w:after="120" w:before="240"/>
      </w:pPr>
      <w:r>
        <w:rPr>
          <w:b w:val="false"/>
          <w:bCs w:val="false"/>
          <w:i w:val="false"/>
          <w:iCs w:val="false"/>
        </w:rPr>
        <w:t xml:space="preserve">6. Rapport de diagnostic</w:t>
      </w:r>
    </w:p>
    <w:p>
      <w:pPr>
        <w:spacing w:after="160"/>
        <w:jc w:val="both"/>
      </w:pPr>
      <w:r>
        <w:rPr>
          <w:b w:val="false"/>
          <w:bCs w:val="false"/>
          <w:i w:val="false"/>
          <w:iCs w:val="false"/>
        </w:rPr>
        <w:t xml:space="preserve">Élément central de toute la promesse de marque (déjà souligné à plusieurs reprises). Doit contenir a minima : identification du véhicule et du client, date et kilométrage, liste des points contrôlés, anomalies détectées avec niveau de gravité, recommandation claire (urgent / à prévoir / suivi), et être remis systématiquement, y compris quand aucune anomalie n'est trouvée (un rapport « rien à signaler » a aussi une valeur de confiance).</w:t>
      </w:r>
    </w:p>
    <w:p>
      <w:pPr>
        <w:pStyle w:val="Heading3"/>
        <w:spacing w:after="120" w:before="240"/>
      </w:pPr>
      <w:r>
        <w:rPr>
          <w:b w:val="false"/>
          <w:bCs w:val="false"/>
          <w:i w:val="false"/>
          <w:iCs w:val="false"/>
        </w:rPr>
        <w:t xml:space="preserve">7. Politique de garantie</w:t>
      </w:r>
    </w:p>
    <w:p>
      <w:pPr>
        <w:spacing w:after="160"/>
        <w:jc w:val="both"/>
      </w:pPr>
      <w:r>
        <w:rPr>
          <w:b w:val="false"/>
          <w:bCs w:val="false"/>
          <w:i w:val="false"/>
          <w:iCs w:val="false"/>
        </w:rPr>
        <w:t xml:space="preserve">À définir avec prudence : une garantie sur la main d'œuvre (ex. 30 à 90 jours sur une réparation identique) est un argument commercial fort mais engage la trésorerie et la crédibilité en cas de casse répétée — à formaliser après quelques mois d'activité réelle plutôt qu'annoncée dès le premier jour sans recul sur le taux de retour effectif (métrique déjà identifiée en section 2.8 du Lean Canvas).</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XI. Gestion des risques et réglementation </w:t>
      </w:r>
      <w:r>
        <w:rPr>
          <w:b w:val="false"/>
          <w:bCs w:val="false"/>
          <w:i/>
          <w:iCs/>
        </w:rPr>
        <w:t xml:space="preserve">(points 49–50)</w:t>
      </w:r>
    </w:p>
    <w:p>
      <w:pPr>
        <w:spacing w:after="160"/>
        <w:jc w:val="both"/>
      </w:pPr>
      <w:r>
        <w:rPr>
          <w:b w:val="false"/>
          <w:bCs w:val="false"/>
          <w:i w:val="false"/>
          <w:iCs w:val="false"/>
        </w:rPr>
        <w:t xml:space="preserve">La cartographie complète des risques a été établie en Phase 1 (section 6 du Lean Canvas) et reste valable intégralement : hypothèses risquées, coûts sous-estimés, risques techniques, commerciaux, liés aux pièces, aux équipements, à l'hybride/EV, aux interventions mobiles, à la disponibilité 06h–00h, au recrutement, à la qualité du diagnostic, au cadre juridique, et à l'expansion régionale.</w:t>
      </w:r>
    </w:p>
    <w:p>
      <w:pPr>
        <w:spacing w:after="160"/>
        <w:jc w:val="both"/>
      </w:pPr>
      <w:r>
        <w:rPr>
          <w:b w:val="false"/>
          <w:bCs w:val="false"/>
          <w:i w:val="false"/>
          <w:iCs w:val="false"/>
        </w:rPr>
        <w:t xml:space="preserve">Complément réglementaire pour cette phase : la création de l'entreprise suit la procédure du Guichet Unique de l'API-Mali (immatriculation RCCM, NINEA, carte d'identification fiscale), avec un délai réglementaire annoncé de 72 heures après dépôt d'un dossier complet, et des frais de timbre et d'enregistrement de quelques milliers de FCFA (hors frais de notaire/comptable pour une structure sociétaire, à budgéter séparément). Ce point est administrativement simple mais conditionne toutes les démarches suivantes (ouverture de compte bancaire professionnel, contrats B2B formels) — à engager dès la Phase 0 du plan de lancement.</w:t>
      </w:r>
    </w:p>
    <w:p>
      <w:pPr>
        <w:spacing w:after="160"/>
        <w:jc w:val="both"/>
      </w:pPr>
      <w:r>
        <w:rPr>
          <w:b w:val="false"/>
          <w:bCs w:val="false"/>
          <w:i w:val="false"/>
          <w:iCs w:val="false"/>
        </w:rPr>
        <w:t xml:space="preserve">Autre point réglementaire à surveiller : le droit du travail malien (Code du travail, loi n° 92-020) encadre les congés (minimum 24 jours/an), les indemnités de licenciement et le salaire minimum (SMIG à 40 000 FCFA/mois) — la politique salariale de CHICANO, largement au-dessus du SMIG pour les postes qualifiés compte tenu de la rareté de la compétence recherchée, doit néanmoins être formalisée en contrats conformes dès l'embauche des premiers techniciens.</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XII. Expansion régionale et CHICANO NETWORK </w:t>
      </w:r>
      <w:r>
        <w:rPr>
          <w:b w:val="false"/>
          <w:bCs w:val="false"/>
          <w:i/>
          <w:iCs/>
        </w:rPr>
        <w:t xml:space="preserve">(points 51–52)</w:t>
      </w:r>
    </w:p>
    <w:p>
      <w:pPr>
        <w:spacing w:after="160"/>
        <w:jc w:val="both"/>
      </w:pPr>
      <w:r>
        <w:rPr>
          <w:b w:val="false"/>
          <w:bCs w:val="false"/>
          <w:i w:val="false"/>
          <w:iCs w:val="false"/>
        </w:rPr>
        <w:t xml:space="preserve">Explicitement hors périmètre opérationnel de la Phase 1–2 immédiate, mais à garder à l'esprit dans les choix structurants pris dès maintenant : ne pas construire d'outils (carnet numérique, procédures) pensés uniquement pour un site unique, documenter les procédures qualité dès la Phase 3 pour qu'elles soient réplicables, et n'envisager le CHICANO NETWORK (succursales ou partenariats régionaux) qu'une fois le modèle bamakois rentable et documenté — pas avant, pour éviter de répliquer une faiblesse non corrigée.</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XIII. Roadmap et pilotage </w:t>
      </w:r>
      <w:r>
        <w:rPr>
          <w:b w:val="false"/>
          <w:bCs w:val="false"/>
          <w:i/>
          <w:iCs/>
        </w:rPr>
        <w:t xml:space="preserve">(points 53–55)</w:t>
      </w:r>
    </w:p>
    <w:p>
      <w:pPr>
        <w:pStyle w:val="Heading3"/>
        <w:spacing w:after="120" w:before="240"/>
      </w:pPr>
      <w:r>
        <w:rPr>
          <w:b w:val="false"/>
          <w:bCs w:val="false"/>
          <w:i w:val="false"/>
          <w:iCs w:val="false"/>
        </w:rPr>
        <w:t xml:space="preserve">1. Roadmap 12 mois (résumé, détail des phases en Lean Canvas section 12)</w:t>
      </w:r>
    </w:p>
    <w:p>
      <w:pPr>
        <w:spacing w:after="160"/>
        <w:jc w:val="both"/>
      </w:pPr>
      <w:r>
        <w:rPr>
          <w:b w:val="false"/>
          <w:bCs w:val="false"/>
          <w:i w:val="false"/>
          <w:iCs w:val="false"/>
        </w:rPr>
        <w:t xml:space="preserve">Mois 1–3 (Phase 0) : formalités, aménagement, recrutement du technicien diagnostic, équipement indispensable. Mois 4–6 (Phase 1) : validation marché, démarchage early adopters, premiers contrats B2B pilotes. Mois 7–12 (début Phase 2) : montée en charge, structuration de l'offre B2B, introduction progressive du carnet numérique.</w:t>
      </w:r>
    </w:p>
    <w:p>
      <w:pPr>
        <w:pStyle w:val="Heading3"/>
        <w:spacing w:after="120" w:before="240"/>
      </w:pPr>
      <w:r>
        <w:rPr>
          <w:b w:val="false"/>
          <w:bCs w:val="false"/>
          <w:i w:val="false"/>
          <w:iCs w:val="false"/>
        </w:rPr>
        <w:t xml:space="preserve">2. Roadmap 3 ans (indicative)</w:t>
      </w:r>
    </w:p>
    <w:p>
      <w:pPr>
        <w:spacing w:after="160"/>
        <w:jc w:val="both"/>
      </w:pPr>
      <w:r>
        <w:rPr>
          <w:b w:val="false"/>
          <w:bCs w:val="false"/>
          <w:i w:val="false"/>
          <w:iCs w:val="false"/>
        </w:rPr>
        <w:t xml:space="preserve">Année 1 : validation et lancement Bamako. Année 2 : consolidation (Phase 3 du plan de lancement), investissement dans les équipements avancés si les indicateurs le justifient, structuration RH. Année 3 : première étude sérieuse d'expansion régionale si la rentabilité et la réplicabilité opérationnelle sont démontrées.</w:t>
      </w:r>
    </w:p>
    <w:p>
      <w:pPr>
        <w:pStyle w:val="Heading3"/>
        <w:spacing w:after="120" w:before="240"/>
      </w:pPr>
      <w:r>
        <w:rPr>
          <w:b w:val="false"/>
          <w:bCs w:val="false"/>
          <w:i w:val="false"/>
          <w:iCs w:val="false"/>
        </w:rPr>
        <w:t xml:space="preserve">3. KPI et tableau de bord</w:t>
      </w:r>
    </w:p>
    <w:p>
      <w:pPr>
        <w:spacing w:after="160"/>
        <w:jc w:val="both"/>
      </w:pPr>
      <w:r>
        <w:rPr>
          <w:b w:val="false"/>
          <w:bCs w:val="false"/>
          <w:i w:val="false"/>
          <w:iCs w:val="false"/>
        </w:rPr>
        <w:t xml:space="preserve">Reprise des indicateurs du Lean Canvas (section 2.8), avec priorité absolue donnée, dès le mois 1, au </w:t>
      </w:r>
      <w:r>
        <w:rPr>
          <w:b/>
          <w:bCs/>
          <w:i w:val="false"/>
          <w:iCs w:val="false"/>
        </w:rPr>
        <w:t xml:space="preserve">taux de transformation diagnostic → réparation</w:t>
      </w:r>
      <w:r>
        <w:rPr>
          <w:b w:val="false"/>
          <w:bCs w:val="false"/>
          <w:i w:val="false"/>
          <w:iCs w:val="false"/>
        </w:rPr>
        <w:t xml:space="preserve"> et au </w:t>
      </w:r>
      <w:r>
        <w:rPr>
          <w:b/>
          <w:bCs/>
          <w:i w:val="false"/>
          <w:iCs w:val="false"/>
        </w:rPr>
        <w:t xml:space="preserve">taux de retour pour panne non résolue</w:t>
      </w:r>
      <w:r>
        <w:rPr>
          <w:b w:val="false"/>
          <w:bCs w:val="false"/>
          <w:i w:val="false"/>
          <w:iCs w:val="false"/>
        </w:rPr>
        <w:t xml:space="preserve"> — les deux métriques qui mesurent si la promesse de marque est réellement tenue, à suivre avant même la rentabilité pure.</w:t>
      </w:r>
    </w:p>
    <w:p>
      <w:pPr>
        <w:pBdr>
          <w:bottom w:val="single" w:color="AAAAAA" w:sz="4" w:space="4"/>
        </w:pBdr>
        <w:spacing w:after="200" w:before="160"/>
      </w:pPr>
    </w:p>
    <w:p>
      <w:pPr>
        <w:pStyle w:val="Heading2"/>
        <w:pageBreakBefore/>
        <w:spacing w:after="120" w:before="240"/>
      </w:pPr>
      <w:r>
        <w:rPr>
          <w:b w:val="false"/>
          <w:bCs w:val="false"/>
          <w:i w:val="false"/>
          <w:iCs w:val="false"/>
        </w:rPr>
        <w:t xml:space="preserve">XIV. Financement et stratégie de croissance </w:t>
      </w:r>
      <w:r>
        <w:rPr>
          <w:b w:val="false"/>
          <w:bCs w:val="false"/>
          <w:i/>
          <w:iCs/>
        </w:rPr>
        <w:t xml:space="preserve">(points 56–58)</w:t>
      </w:r>
    </w:p>
    <w:p>
      <w:pPr>
        <w:pStyle w:val="Heading3"/>
        <w:spacing w:after="120" w:before="240"/>
      </w:pPr>
      <w:r>
        <w:rPr>
          <w:b w:val="false"/>
          <w:bCs w:val="false"/>
          <w:i w:val="false"/>
          <w:iCs w:val="false"/>
        </w:rPr>
        <w:t xml:space="preserve">1. Plan de financement (cadre, non chiffré définitivement)</w:t>
      </w:r>
    </w:p>
    <w:p>
      <w:pPr>
        <w:spacing w:after="160"/>
        <w:jc w:val="both"/>
      </w:pPr>
      <w:r>
        <w:rPr>
          <w:b w:val="false"/>
          <w:bCs w:val="false"/>
          <w:i w:val="false"/>
          <w:iCs w:val="false"/>
        </w:rPr>
        <w:t xml:space="preserve">Sur la base du CAPEX indispensable estimé (≈10,4 à 19,7 M FCFA) et du BFR de démarrage (≈2 à 4,2 M FCFA), le besoin de financement de lancement se situerait, à ce stade d'estimation, dans une fourchette d'environ </w:t>
      </w:r>
      <w:r>
        <w:rPr>
          <w:b/>
          <w:bCs/>
          <w:i w:val="false"/>
          <w:iCs w:val="false"/>
        </w:rPr>
        <w:t xml:space="preserve">12,5 à 24 millions FCFA</w:t>
      </w:r>
      <w:r>
        <w:rPr>
          <w:b w:val="false"/>
          <w:bCs w:val="false"/>
          <w:i w:val="false"/>
          <w:iCs w:val="false"/>
        </w:rPr>
        <w:t xml:space="preserve"> </w:t>
      </w:r>
      <w:r>
        <w:rPr>
          <w:b w:val="false"/>
          <w:bCs w:val="false"/>
          <w:i/>
          <w:iCs/>
        </w:rPr>
        <w:t xml:space="preserve">(HYPOTHÈSE, à préciser dès que les devis fermes seront disponibles)</w:t>
      </w:r>
      <w:r>
        <w:rPr>
          <w:b w:val="false"/>
          <w:bCs w:val="false"/>
          <w:i w:val="false"/>
          <w:iCs w:val="false"/>
        </w:rPr>
        <w:t xml:space="preserve">. Les sources envisageables classiques pour ce type de projet au Mali incluent l'apport personnel du porteur, le crédit bancaire ou de microfinance PME, et éventuellement un partenaire investisseur minoritaire — le choix entre ces options dépend de l'appétence du porteur pour la dilution ou l'endettement, une décision qui lui revient entièrement.</w:t>
      </w:r>
    </w:p>
    <w:p>
      <w:pPr>
        <w:pStyle w:val="Heading3"/>
        <w:spacing w:after="120" w:before="240"/>
      </w:pPr>
      <w:r>
        <w:rPr>
          <w:b w:val="false"/>
          <w:bCs w:val="false"/>
          <w:i w:val="false"/>
          <w:iCs w:val="false"/>
        </w:rPr>
        <w:t xml:space="preserve">2. Besoin éventuel d'investissement complémentaire</w:t>
      </w:r>
    </w:p>
    <w:p>
      <w:pPr>
        <w:spacing w:after="160"/>
        <w:jc w:val="both"/>
      </w:pPr>
      <w:r>
        <w:rPr>
          <w:b w:val="false"/>
          <w:bCs w:val="false"/>
          <w:i w:val="false"/>
          <w:iCs w:val="false"/>
        </w:rPr>
        <w:t xml:space="preserve">À anticiper pour la Phase 3 (équipements avancés, éventuel véhicule mobile, renforcement RH) plutôt que pour le lancement — cohérent avec la logique de MVP resserré recommandée depuis la Phase 1.</w:t>
      </w:r>
    </w:p>
    <w:p>
      <w:pPr>
        <w:pStyle w:val="Heading3"/>
        <w:spacing w:after="120" w:before="240"/>
      </w:pPr>
      <w:r>
        <w:rPr>
          <w:b w:val="false"/>
          <w:bCs w:val="false"/>
          <w:i w:val="false"/>
          <w:iCs w:val="false"/>
        </w:rPr>
        <w:t xml:space="preserve">3. Stratégie de croissance</w:t>
      </w:r>
    </w:p>
    <w:p>
      <w:pPr>
        <w:spacing w:after="160"/>
        <w:jc w:val="both"/>
      </w:pPr>
      <w:r>
        <w:rPr>
          <w:b w:val="false"/>
          <w:bCs w:val="false"/>
          <w:i w:val="false"/>
          <w:iCs w:val="false"/>
        </w:rPr>
        <w:t xml:space="preserve">Séquencée et conditionnelle plutôt que planifiée à date fixe : consolider la rentabilité et la qualité à Bamako avant tout élargissement de gamme (hybride/EV, programmation de clés avancée) ou géographique (régions). La croissance de CHICANO doit être pilotée par les indicateurs de qualité (taux de retour, taux de transformation) autant que par le chiffre d'affaires — une croissance rapide obtenue au prix d'un relâchement de la rigueur diagnostique détruirait l'avantage concurrentiel même que ce document cherche à construire.</w:t>
      </w:r>
    </w:p>
    <w:p>
      <w:pPr>
        <w:pBdr>
          <w:bottom w:val="single" w:color="AAAAAA" w:sz="4" w:space="4"/>
        </w:pBdr>
        <w:spacing w:after="200" w:before="160"/>
      </w:pPr>
    </w:p>
    <w:p>
      <w:pPr>
        <w:pStyle w:val="Heading1"/>
        <w:pageBreakBefore/>
        <w:spacing w:after="120" w:before="240"/>
      </w:pPr>
      <w:r>
        <w:rPr>
          <w:b w:val="false"/>
          <w:bCs w:val="false"/>
          <w:i w:val="false"/>
          <w:iCs w:val="false"/>
        </w:rPr>
        <w:t xml:space="preserve">SYNTHÈSE ET PROCHAINES ÉTAPES</w:t>
      </w:r>
    </w:p>
    <w:p>
      <w:pPr>
        <w:spacing w:after="160"/>
        <w:jc w:val="both"/>
      </w:pPr>
      <w:r>
        <w:rPr>
          <w:b w:val="false"/>
          <w:bCs w:val="false"/>
          <w:i w:val="false"/>
          <w:iCs w:val="false"/>
        </w:rPr>
        <w:t xml:space="preserve">Ce Business Model complet reprend et développe l'ensemble des 58 points demandés, organisés en 14 chapitres. Les zones qui restent explicitement des hypothèses à faire valider — et non des données établies — sont, par ordre de priorité :</w:t>
      </w:r>
    </w:p>
    <w:p>
      <w:pPr>
        <w:spacing w:after="160"/>
        <w:jc w:val="both"/>
      </w:pPr>
      <w:r>
        <w:rPr>
          <w:b w:val="false"/>
          <w:bCs w:val="false"/>
          <w:i w:val="false"/>
          <w:iCs w:val="false"/>
        </w:rPr>
        <w:t xml:space="preserve">1. Les prix réels pratiqués par la concurrence bamakoise (section IV.3, XI).</w:t>
      </w:r>
    </w:p>
    <w:p>
      <w:pPr>
        <w:spacing w:after="160"/>
        <w:jc w:val="both"/>
      </w:pPr>
      <w:r>
        <w:rPr>
          <w:b w:val="false"/>
          <w:bCs w:val="false"/>
          <w:i w:val="false"/>
          <w:iCs w:val="false"/>
        </w:rPr>
        <w:t xml:space="preserve">2. Les coûts réels des équipements une fois importés au Mali (section VIII.2).</w:t>
      </w:r>
    </w:p>
    <w:p>
      <w:pPr>
        <w:spacing w:after="160"/>
        <w:jc w:val="both"/>
      </w:pPr>
      <w:r>
        <w:rPr>
          <w:b w:val="false"/>
          <w:bCs w:val="false"/>
          <w:i w:val="false"/>
          <w:iCs w:val="false"/>
        </w:rPr>
        <w:t xml:space="preserve">3. Le volume réel de demande pour le diagnostic payant et le service mobile (hypothèses critiques du Lean Canvas, section VII).</w:t>
      </w:r>
    </w:p>
    <w:p>
      <w:pPr>
        <w:spacing w:after="160"/>
        <w:jc w:val="both"/>
      </w:pPr>
      <w:r>
        <w:rPr>
          <w:b w:val="false"/>
          <w:bCs w:val="false"/>
          <w:i w:val="false"/>
          <w:iCs w:val="false"/>
        </w:rPr>
        <w:t xml:space="preserve">4. Le coût réel et la disponibilité d'un technicien qualifié en diagnostic électronique sur le marché de l'emploi bamakois (section VII).</w:t>
      </w:r>
    </w:p>
    <w:p>
      <w:pPr>
        <w:spacing w:after="160"/>
        <w:jc w:val="both"/>
      </w:pPr>
      <w:r>
        <w:rPr>
          <w:b/>
          <w:bCs/>
          <w:i w:val="false"/>
          <w:iCs w:val="false"/>
        </w:rPr>
        <w:t xml:space="preserve">Proposition de prochaine étape concrète :</w:t>
      </w:r>
      <w:r>
        <w:rPr>
          <w:b w:val="false"/>
          <w:bCs w:val="false"/>
          <w:i w:val="false"/>
          <w:iCs w:val="false"/>
        </w:rPr>
        <w:t xml:space="preserve"> si utile, je peux transformer le cadre financier de la section VIII en </w:t>
      </w:r>
      <w:r>
        <w:rPr>
          <w:b/>
          <w:bCs/>
          <w:i w:val="false"/>
          <w:iCs w:val="false"/>
        </w:rPr>
        <w:t xml:space="preserve">modèle Excel interactif</w:t>
      </w:r>
      <w:r>
        <w:rPr>
          <w:b w:val="false"/>
          <w:bCs w:val="false"/>
          <w:i w:val="false"/>
          <w:iCs w:val="false"/>
        </w:rPr>
        <w:t xml:space="preserve"> (CAPEX, charges fixes, hypothèses de prix et de volume en cellules modifiables, calcul automatique du seuil de rentabilité et des trois scénarios), pour que le porteur puisse tester lui-même différentes hypothèses au fur et à mesure que les vraies données de terrain arrivent.</w:t>
      </w:r>
    </w:p>
    <w:sectPr>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CHICANO AUTO SERVICES — Business Model v0.1 —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8"/>
      <w:szCs w:val="48"/>
    </w:rPr>
  </w:style>
  <w:style w:type="paragraph" w:styleId="Heading1">
    <w:name w:val="Heading 1"/>
    <w:basedOn w:val="Normal"/>
    <w:next w:val="Normal"/>
    <w:pP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pPr>
      <w:spacing w:after="120" w:before="220"/>
      <w:outlineLvl w:val="1"/>
    </w:pPr>
    <w:rPr>
      <w:rFonts w:ascii="Calibri" w:cs="Calibri" w:eastAsia="Calibri" w:hAnsi="Calibri"/>
      <w:b/>
      <w:bCs/>
      <w:color w:val="1F3864"/>
      <w:sz w:val="26"/>
      <w:szCs w:val="26"/>
    </w:rPr>
  </w:style>
  <w:style w:type="paragraph" w:styleId="Heading3">
    <w:name w:val="Heading 3"/>
    <w:basedOn w:val="Normal"/>
    <w:next w:val="Normal"/>
    <w:pPr>
      <w:spacing w:after="100" w:before="200"/>
      <w:outlineLvl w:val="2"/>
    </w:pPr>
    <w:rPr>
      <w:rFonts w:ascii="Calibri" w:cs="Calibri" w:eastAsia="Calibri" w:hAnsi="Calibri"/>
      <w:b/>
      <w:bCs/>
      <w:color w:val="2E5395"/>
      <w:sz w:val="23"/>
      <w:szCs w:val="23"/>
    </w:rPr>
  </w:style>
  <w:style w:type="paragraph" w:styleId="Heading4">
    <w:name w:val="Heading 4"/>
    <w:basedOn w:val="Normal"/>
    <w:next w:val="Normal"/>
    <w:pPr>
      <w:spacing w:after="90" w:before="160"/>
      <w:outlineLvl w:val="3"/>
    </w:pPr>
    <w:rPr>
      <w:rFonts w:ascii="Calibri" w:cs="Calibri" w:eastAsia="Calibri" w:hAnsi="Calibri"/>
      <w:b/>
      <w:bCs/>
      <w:i/>
      <w:iCs/>
      <w:color w:val="2E539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2026-08-23T23:00:37.055Z</dcterms:created>
  <dcterms:modified xsi:type="dcterms:W3CDTF">2026-08-23T23:00:37.055Z</dcterms:modified>
</cp:coreProperties>
</file>

<file path=docProps/custom.xml><?xml version="1.0" encoding="utf-8"?>
<Properties xmlns="http://schemas.openxmlformats.org/officeDocument/2006/custom-properties" xmlns:vt="http://schemas.openxmlformats.org/officeDocument/2006/docPropsVTypes"/>
</file>