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val="0"/>
          <w:i/>
          <w:color w:val="646464"/>
          <w:sz w:val="22"/>
        </w:rPr>
        <w:t>Rapport de Projet — Data Science 2025-2026</w:t>
      </w:r>
    </w:p>
    <w:p/>
    <w:p/>
    <w:p>
      <w:pPr>
        <w:jc w:val="center"/>
      </w:pPr>
      <w:r>
        <w:rPr>
          <w:rFonts w:ascii="Calibri" w:hAnsi="Calibri"/>
          <w:b/>
          <w:i w:val="0"/>
          <w:color w:val="00467F"/>
          <w:sz w:val="44"/>
        </w:rPr>
        <w:t>Prédiction de la Gravité des Accidents</w:t>
        <w:br/>
        <w:t>de la Circulation Routière en France</w:t>
      </w:r>
    </w:p>
    <w:p/>
    <w:p>
      <w:pPr>
        <w:jc w:val="center"/>
      </w:pPr>
      <w:r>
        <w:rPr>
          <w:rFonts w:ascii="Calibri" w:hAnsi="Calibri"/>
          <w:b w:val="0"/>
          <w:i/>
          <w:color w:val="505050"/>
          <w:sz w:val="26"/>
        </w:rPr>
        <w:t>Analyse exploratoire, nettoyage des données</w:t>
        <w:br/>
        <w:t>et modélisation prédictive par Machine Learning</w:t>
      </w:r>
    </w:p>
    <w:p/>
    <w:p/>
    <w:p>
      <w:pPr>
        <w:jc w:val="center"/>
      </w:pPr>
      <w:r>
        <w:t>─────────────────────────────────────────────────────────────────</w:t>
      </w:r>
    </w:p>
    <w:p/>
    <w:p>
      <w:pPr>
        <w:jc w:val="center"/>
      </w:pPr>
      <w:r>
        <w:rPr>
          <w:rFonts w:ascii="Calibri" w:hAnsi="Calibri"/>
          <w:b w:val="0"/>
          <w:i w:val="0"/>
          <w:color w:val="3C3C3C"/>
          <w:sz w:val="22"/>
        </w:rPr>
        <w:t>Données : BAAC 2024 — Accidents Corporels de la Circulation (France)</w:t>
        <w:br/>
      </w:r>
      <w:r>
        <w:rPr>
          <w:rFonts w:ascii="Calibri" w:hAnsi="Calibri"/>
          <w:b w:val="0"/>
          <w:i w:val="0"/>
          <w:color w:val="3C3C3C"/>
          <w:sz w:val="22"/>
        </w:rPr>
        <w:t>Jeu de données : 54 401 accidents  ·  14 variables  ·  3 classes de gravité</w:t>
        <w:br/>
      </w:r>
    </w:p>
    <w:p/>
    <w:p>
      <w:pPr>
        <w:jc w:val="center"/>
      </w:pPr>
      <w:r>
        <w:rPr>
          <w:rFonts w:ascii="Calibri" w:hAnsi="Calibri"/>
          <w:b/>
          <w:i w:val="0"/>
          <w:color w:val="00467F"/>
          <w:sz w:val="24"/>
        </w:rPr>
        <w:t>Groupe : Issam · Noé · Enzo</w:t>
      </w:r>
    </w:p>
    <w:p/>
    <w:p>
      <w:pPr>
        <w:jc w:val="center"/>
      </w:pPr>
      <w:r>
        <w:rPr>
          <w:rFonts w:ascii="Calibri" w:hAnsi="Calibri"/>
          <w:b w:val="0"/>
          <w:i/>
          <w:color w:val="787878"/>
          <w:sz w:val="20"/>
        </w:rPr>
        <w:t>Année universitaire 2025-2026  ·  May 2026</w:t>
      </w:r>
    </w:p>
    <w:p>
      <w:r>
        <w:br w:type="page"/>
      </w:r>
    </w:p>
    <w:p>
      <w:pPr>
        <w:pStyle w:val="Heading1"/>
        <w:jc w:val="left"/>
      </w:pPr>
      <w:r>
        <w:rPr>
          <w:b/>
          <w:color w:val="00467F"/>
          <w:sz w:val="28"/>
        </w:rPr>
        <w:t>1. Introduction</w:t>
      </w:r>
    </w:p>
    <w:p>
      <w:pPr>
        <w:spacing w:before="0" w:after="120"/>
        <w:jc w:val="both"/>
      </w:pPr>
      <w:r>
        <w:rPr>
          <w:rFonts w:ascii="Calibri" w:hAnsi="Calibri"/>
          <w:b w:val="0"/>
          <w:i w:val="0"/>
          <w:sz w:val="22"/>
        </w:rPr>
        <w:t>Les accidents de la circulation représentent un enjeu majeur de santé publique en France. En 2024, des dizaines de milliers de personnes ont été blessées ou tuées sur les routes françaises. Comprendre les facteurs qui déterminent la gravité d'un accident — et pouvoir les prédire — est essentiel pour orienter les politiques de prévention, optimiser le déploiement des secours et guider les investissements en sécurité routière.</w:t>
      </w:r>
    </w:p>
    <w:p>
      <w:pPr>
        <w:pStyle w:val="Heading2"/>
        <w:jc w:val="left"/>
      </w:pPr>
      <w:r>
        <w:rPr>
          <w:b/>
          <w:color w:val="00467F"/>
          <w:sz w:val="24"/>
        </w:rPr>
        <w:t>1.1 Description des données</w:t>
      </w:r>
    </w:p>
    <w:p>
      <w:pPr>
        <w:spacing w:before="0" w:after="120"/>
        <w:jc w:val="both"/>
      </w:pPr>
      <w:r>
        <w:rPr>
          <w:rFonts w:ascii="Calibri" w:hAnsi="Calibri"/>
          <w:b w:val="0"/>
          <w:i w:val="0"/>
          <w:sz w:val="22"/>
        </w:rPr>
        <w:t>Le jeu de données exploité est issu du Bulletin d'Analyse des Accidents Corporels (BAAC) pour l'année 2024, mis à disposition par le Ministère de l'Intérieur. Il contient 54 402 enregistrements (une ligne par usager impliqué dans un accident), décrits par 14 attributs :</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3864"/>
          </w:tcPr>
          <w:p>
            <w:pPr>
              <w:spacing w:before="20" w:after="20"/>
              <w:jc w:val="center"/>
            </w:pPr>
            <w:r/>
            <w:r>
              <w:rPr>
                <w:b/>
                <w:color w:val="FFFFFF"/>
                <w:sz w:val="20"/>
              </w:rPr>
              <w:t>Variable</w:t>
            </w:r>
          </w:p>
        </w:tc>
        <w:tc>
          <w:tcPr>
            <w:tcW w:type="dxa" w:w="4703"/>
            <w:shd w:val="clear" w:color="auto" w:fill="1F3864"/>
          </w:tcPr>
          <w:p>
            <w:pPr>
              <w:spacing w:before="20" w:after="20"/>
              <w:jc w:val="center"/>
            </w:pPr>
            <w:r/>
            <w:r>
              <w:rPr>
                <w:b/>
                <w:color w:val="FFFFFF"/>
                <w:sz w:val="20"/>
              </w:rPr>
              <w:t>Description</w:t>
            </w:r>
          </w:p>
        </w:tc>
      </w:tr>
      <w:tr>
        <w:tc>
          <w:tcPr>
            <w:tcW w:type="dxa" w:w="4703"/>
            <w:shd w:val="clear" w:color="auto" w:fill="FFFFFF"/>
          </w:tcPr>
          <w:p>
            <w:pPr>
              <w:spacing w:before="20" w:after="20"/>
              <w:jc w:val="left"/>
            </w:pPr>
            <w:r/>
            <w:r>
              <w:rPr>
                <w:b/>
                <w:sz w:val="20"/>
              </w:rPr>
              <w:t>Num_Acc</w:t>
            </w:r>
          </w:p>
        </w:tc>
        <w:tc>
          <w:tcPr>
            <w:tcW w:type="dxa" w:w="4703"/>
            <w:shd w:val="clear" w:color="auto" w:fill="FFFFFF"/>
          </w:tcPr>
          <w:p>
            <w:pPr>
              <w:spacing w:before="20" w:after="20"/>
              <w:jc w:val="left"/>
            </w:pPr>
            <w:r/>
            <w:r>
              <w:rPr>
                <w:b w:val="0"/>
                <w:sz w:val="20"/>
              </w:rPr>
              <w:t>Identifiant unique de l'accident (supprimé — corrompu à l'export Excel)</w:t>
            </w:r>
          </w:p>
        </w:tc>
      </w:tr>
      <w:tr>
        <w:tc>
          <w:tcPr>
            <w:tcW w:type="dxa" w:w="4703"/>
            <w:shd w:val="clear" w:color="auto" w:fill="D9E1F2"/>
          </w:tcPr>
          <w:p>
            <w:pPr>
              <w:spacing w:before="20" w:after="20"/>
              <w:jc w:val="left"/>
            </w:pPr>
            <w:r/>
            <w:r>
              <w:rPr>
                <w:b/>
                <w:sz w:val="20"/>
              </w:rPr>
              <w:t>Département → Région</w:t>
            </w:r>
          </w:p>
        </w:tc>
        <w:tc>
          <w:tcPr>
            <w:tcW w:type="dxa" w:w="4703"/>
            <w:shd w:val="clear" w:color="auto" w:fill="D9E1F2"/>
          </w:tcPr>
          <w:p>
            <w:pPr>
              <w:spacing w:before="20" w:after="20"/>
              <w:jc w:val="left"/>
            </w:pPr>
            <w:r/>
            <w:r>
              <w:rPr>
                <w:b w:val="0"/>
                <w:sz w:val="20"/>
              </w:rPr>
              <w:t>Localisation géographique (107 départements regroupés en 14 régions)</w:t>
            </w:r>
          </w:p>
        </w:tc>
      </w:tr>
      <w:tr>
        <w:tc>
          <w:tcPr>
            <w:tcW w:type="dxa" w:w="4703"/>
            <w:shd w:val="clear" w:color="auto" w:fill="FFFFFF"/>
          </w:tcPr>
          <w:p>
            <w:pPr>
              <w:spacing w:before="20" w:after="20"/>
              <w:jc w:val="left"/>
            </w:pPr>
            <w:r/>
            <w:r>
              <w:rPr>
                <w:b/>
                <w:sz w:val="20"/>
              </w:rPr>
              <w:t>Agglomération</w:t>
            </w:r>
          </w:p>
        </w:tc>
        <w:tc>
          <w:tcPr>
            <w:tcW w:type="dxa" w:w="4703"/>
            <w:shd w:val="clear" w:color="auto" w:fill="FFFFFF"/>
          </w:tcPr>
          <w:p>
            <w:pPr>
              <w:spacing w:before="20" w:after="20"/>
              <w:jc w:val="left"/>
            </w:pPr>
            <w:r/>
            <w:r>
              <w:rPr>
                <w:b w:val="0"/>
                <w:sz w:val="20"/>
              </w:rPr>
              <w:t>Accident en agglomération ou hors agglomération (2 modalités)</w:t>
            </w:r>
          </w:p>
        </w:tc>
      </w:tr>
      <w:tr>
        <w:tc>
          <w:tcPr>
            <w:tcW w:type="dxa" w:w="4703"/>
            <w:shd w:val="clear" w:color="auto" w:fill="D9E1F2"/>
          </w:tcPr>
          <w:p>
            <w:pPr>
              <w:spacing w:before="20" w:after="20"/>
              <w:jc w:val="left"/>
            </w:pPr>
            <w:r/>
            <w:r>
              <w:rPr>
                <w:b/>
                <w:sz w:val="20"/>
              </w:rPr>
              <w:t>Luminosité</w:t>
            </w:r>
          </w:p>
        </w:tc>
        <w:tc>
          <w:tcPr>
            <w:tcW w:type="dxa" w:w="4703"/>
            <w:shd w:val="clear" w:color="auto" w:fill="D9E1F2"/>
          </w:tcPr>
          <w:p>
            <w:pPr>
              <w:spacing w:before="20" w:after="20"/>
              <w:jc w:val="left"/>
            </w:pPr>
            <w:r/>
            <w:r>
              <w:rPr>
                <w:b w:val="0"/>
                <w:sz w:val="20"/>
              </w:rPr>
              <w:t>Conditions de lumière : plein jour, crépuscule, nuit avec/sans éclairage (5 modalités)</w:t>
            </w:r>
          </w:p>
        </w:tc>
      </w:tr>
      <w:tr>
        <w:tc>
          <w:tcPr>
            <w:tcW w:type="dxa" w:w="4703"/>
            <w:shd w:val="clear" w:color="auto" w:fill="FFFFFF"/>
          </w:tcPr>
          <w:p>
            <w:pPr>
              <w:spacing w:before="20" w:after="20"/>
              <w:jc w:val="left"/>
            </w:pPr>
            <w:r/>
            <w:r>
              <w:rPr>
                <w:b/>
                <w:sz w:val="20"/>
              </w:rPr>
              <w:t>Météo</w:t>
            </w:r>
          </w:p>
        </w:tc>
        <w:tc>
          <w:tcPr>
            <w:tcW w:type="dxa" w:w="4703"/>
            <w:shd w:val="clear" w:color="auto" w:fill="FFFFFF"/>
          </w:tcPr>
          <w:p>
            <w:pPr>
              <w:spacing w:before="20" w:after="20"/>
              <w:jc w:val="left"/>
            </w:pPr>
            <w:r/>
            <w:r>
              <w:rPr>
                <w:b w:val="0"/>
                <w:sz w:val="20"/>
              </w:rPr>
              <w:t>Conditions atmosphériques : normale, pluie, brouillard, neige, etc. (10 modalités)</w:t>
            </w:r>
          </w:p>
        </w:tc>
      </w:tr>
      <w:tr>
        <w:tc>
          <w:tcPr>
            <w:tcW w:type="dxa" w:w="4703"/>
            <w:shd w:val="clear" w:color="auto" w:fill="D9E1F2"/>
          </w:tcPr>
          <w:p>
            <w:pPr>
              <w:spacing w:before="20" w:after="20"/>
              <w:jc w:val="left"/>
            </w:pPr>
            <w:r/>
            <w:r>
              <w:rPr>
                <w:b/>
                <w:sz w:val="20"/>
              </w:rPr>
              <w:t>Type de collision</w:t>
            </w:r>
          </w:p>
        </w:tc>
        <w:tc>
          <w:tcPr>
            <w:tcW w:type="dxa" w:w="4703"/>
            <w:shd w:val="clear" w:color="auto" w:fill="D9E1F2"/>
          </w:tcPr>
          <w:p>
            <w:pPr>
              <w:spacing w:before="20" w:after="20"/>
              <w:jc w:val="left"/>
            </w:pPr>
            <w:r/>
            <w:r>
              <w:rPr>
                <w:b w:val="0"/>
                <w:sz w:val="20"/>
              </w:rPr>
              <w:t>Frontale, arrière, latérale, sans collision, etc. (8 modalités)</w:t>
            </w:r>
          </w:p>
        </w:tc>
      </w:tr>
      <w:tr>
        <w:tc>
          <w:tcPr>
            <w:tcW w:type="dxa" w:w="4703"/>
            <w:shd w:val="clear" w:color="auto" w:fill="FFFFFF"/>
          </w:tcPr>
          <w:p>
            <w:pPr>
              <w:spacing w:before="20" w:after="20"/>
              <w:jc w:val="left"/>
            </w:pPr>
            <w:r/>
            <w:r>
              <w:rPr>
                <w:b/>
                <w:sz w:val="20"/>
              </w:rPr>
              <w:t>Catégorie de route</w:t>
            </w:r>
          </w:p>
        </w:tc>
        <w:tc>
          <w:tcPr>
            <w:tcW w:type="dxa" w:w="4703"/>
            <w:shd w:val="clear" w:color="auto" w:fill="FFFFFF"/>
          </w:tcPr>
          <w:p>
            <w:pPr>
              <w:spacing w:before="20" w:after="20"/>
              <w:jc w:val="left"/>
            </w:pPr>
            <w:r/>
            <w:r>
              <w:rPr>
                <w:b w:val="0"/>
                <w:sz w:val="20"/>
              </w:rPr>
              <w:t>Autoroute, route nationale, départementale, voie communale, etc. (8 modalités)</w:t>
            </w:r>
          </w:p>
        </w:tc>
      </w:tr>
      <w:tr>
        <w:tc>
          <w:tcPr>
            <w:tcW w:type="dxa" w:w="4703"/>
            <w:shd w:val="clear" w:color="auto" w:fill="D9E1F2"/>
          </w:tcPr>
          <w:p>
            <w:pPr>
              <w:spacing w:before="20" w:after="20"/>
              <w:jc w:val="left"/>
            </w:pPr>
            <w:r/>
            <w:r>
              <w:rPr>
                <w:b/>
                <w:sz w:val="20"/>
              </w:rPr>
              <w:t>Régime de circulation</w:t>
            </w:r>
          </w:p>
        </w:tc>
        <w:tc>
          <w:tcPr>
            <w:tcW w:type="dxa" w:w="4703"/>
            <w:shd w:val="clear" w:color="auto" w:fill="D9E1F2"/>
          </w:tcPr>
          <w:p>
            <w:pPr>
              <w:spacing w:before="20" w:after="20"/>
              <w:jc w:val="left"/>
            </w:pPr>
            <w:r/>
            <w:r>
              <w:rPr>
                <w:b w:val="0"/>
                <w:sz w:val="20"/>
              </w:rPr>
              <w:t>Sens unique, bidirectionnel, chaussées séparées (5 modalités)</w:t>
            </w:r>
          </w:p>
        </w:tc>
      </w:tr>
      <w:tr>
        <w:tc>
          <w:tcPr>
            <w:tcW w:type="dxa" w:w="4703"/>
            <w:shd w:val="clear" w:color="auto" w:fill="FFFFFF"/>
          </w:tcPr>
          <w:p>
            <w:pPr>
              <w:spacing w:before="20" w:after="20"/>
              <w:jc w:val="left"/>
            </w:pPr>
            <w:r/>
            <w:r>
              <w:rPr>
                <w:b/>
                <w:sz w:val="20"/>
              </w:rPr>
              <w:t>Nombre de voies → Voies_num</w:t>
            </w:r>
          </w:p>
        </w:tc>
        <w:tc>
          <w:tcPr>
            <w:tcW w:type="dxa" w:w="4703"/>
            <w:shd w:val="clear" w:color="auto" w:fill="FFFFFF"/>
          </w:tcPr>
          <w:p>
            <w:pPr>
              <w:spacing w:before="20" w:after="20"/>
              <w:jc w:val="left"/>
            </w:pPr>
            <w:r/>
            <w:r>
              <w:rPr>
                <w:b w:val="0"/>
                <w:sz w:val="20"/>
              </w:rPr>
              <w:t>Nombre de voies (numérique, extrait du texte)</w:t>
            </w:r>
          </w:p>
        </w:tc>
      </w:tr>
      <w:tr>
        <w:tc>
          <w:tcPr>
            <w:tcW w:type="dxa" w:w="4703"/>
            <w:shd w:val="clear" w:color="auto" w:fill="D9E1F2"/>
          </w:tcPr>
          <w:p>
            <w:pPr>
              <w:spacing w:before="20" w:after="20"/>
              <w:jc w:val="left"/>
            </w:pPr>
            <w:r/>
            <w:r>
              <w:rPr>
                <w:b/>
                <w:sz w:val="20"/>
              </w:rPr>
              <w:t>État de la surface</w:t>
            </w:r>
          </w:p>
        </w:tc>
        <w:tc>
          <w:tcPr>
            <w:tcW w:type="dxa" w:w="4703"/>
            <w:shd w:val="clear" w:color="auto" w:fill="D9E1F2"/>
          </w:tcPr>
          <w:p>
            <w:pPr>
              <w:spacing w:before="20" w:after="20"/>
              <w:jc w:val="left"/>
            </w:pPr>
            <w:r/>
            <w:r>
              <w:rPr>
                <w:b w:val="0"/>
                <w:sz w:val="20"/>
              </w:rPr>
              <w:t>Normale, mouillée, verglacée, enneigée, etc. (10 modalités)</w:t>
            </w:r>
          </w:p>
        </w:tc>
      </w:tr>
      <w:tr>
        <w:tc>
          <w:tcPr>
            <w:tcW w:type="dxa" w:w="4703"/>
            <w:shd w:val="clear" w:color="auto" w:fill="FFFFFF"/>
          </w:tcPr>
          <w:p>
            <w:pPr>
              <w:spacing w:before="20" w:after="20"/>
              <w:jc w:val="left"/>
            </w:pPr>
            <w:r/>
            <w:r>
              <w:rPr>
                <w:b/>
                <w:sz w:val="20"/>
              </w:rPr>
              <w:t>Infrastructure</w:t>
            </w:r>
          </w:p>
        </w:tc>
        <w:tc>
          <w:tcPr>
            <w:tcW w:type="dxa" w:w="4703"/>
            <w:shd w:val="clear" w:color="auto" w:fill="FFFFFF"/>
          </w:tcPr>
          <w:p>
            <w:pPr>
              <w:spacing w:before="20" w:after="20"/>
              <w:jc w:val="left"/>
            </w:pPr>
            <w:r/>
            <w:r>
              <w:rPr>
                <w:b w:val="0"/>
                <w:sz w:val="20"/>
              </w:rPr>
              <w:t>Pont, tunnel, carrefour, chantier, etc. (11 modalités)</w:t>
            </w:r>
          </w:p>
        </w:tc>
      </w:tr>
      <w:tr>
        <w:tc>
          <w:tcPr>
            <w:tcW w:type="dxa" w:w="4703"/>
            <w:shd w:val="clear" w:color="auto" w:fill="D9E1F2"/>
          </w:tcPr>
          <w:p>
            <w:pPr>
              <w:spacing w:before="20" w:after="20"/>
              <w:jc w:val="left"/>
            </w:pPr>
            <w:r/>
            <w:r>
              <w:rPr>
                <w:b/>
                <w:sz w:val="20"/>
              </w:rPr>
              <w:t>Situation de l'accident</w:t>
            </w:r>
          </w:p>
        </w:tc>
        <w:tc>
          <w:tcPr>
            <w:tcW w:type="dxa" w:w="4703"/>
            <w:shd w:val="clear" w:color="auto" w:fill="D9E1F2"/>
          </w:tcPr>
          <w:p>
            <w:pPr>
              <w:spacing w:before="20" w:after="20"/>
              <w:jc w:val="left"/>
            </w:pPr>
            <w:r/>
            <w:r>
              <w:rPr>
                <w:b w:val="0"/>
                <w:sz w:val="20"/>
              </w:rPr>
              <w:t>Sur chaussée, trottoir, piste cyclable, etc. (7 modalités)</w:t>
            </w:r>
          </w:p>
        </w:tc>
      </w:tr>
      <w:tr>
        <w:tc>
          <w:tcPr>
            <w:tcW w:type="dxa" w:w="4703"/>
            <w:shd w:val="clear" w:color="auto" w:fill="FFFFFF"/>
          </w:tcPr>
          <w:p>
            <w:pPr>
              <w:spacing w:before="20" w:after="20"/>
              <w:jc w:val="left"/>
            </w:pPr>
            <w:r/>
            <w:r>
              <w:rPr>
                <w:b/>
                <w:sz w:val="20"/>
              </w:rPr>
              <w:t>Vitesse max autorisée → Vitesse_num</w:t>
            </w:r>
          </w:p>
        </w:tc>
        <w:tc>
          <w:tcPr>
            <w:tcW w:type="dxa" w:w="4703"/>
            <w:shd w:val="clear" w:color="auto" w:fill="FFFFFF"/>
          </w:tcPr>
          <w:p>
            <w:pPr>
              <w:spacing w:before="20" w:after="20"/>
              <w:jc w:val="left"/>
            </w:pPr>
            <w:r/>
            <w:r>
              <w:rPr>
                <w:b w:val="0"/>
                <w:sz w:val="20"/>
              </w:rPr>
              <w:t>Limitation de vitesse (numérique, en km/h)</w:t>
            </w:r>
          </w:p>
        </w:tc>
      </w:tr>
      <w:tr>
        <w:tc>
          <w:tcPr>
            <w:tcW w:type="dxa" w:w="4703"/>
            <w:shd w:val="clear" w:color="auto" w:fill="D9E1F2"/>
          </w:tcPr>
          <w:p>
            <w:pPr>
              <w:spacing w:before="20" w:after="20"/>
              <w:jc w:val="left"/>
            </w:pPr>
            <w:r/>
            <w:r>
              <w:rPr>
                <w:b/>
                <w:sz w:val="20"/>
              </w:rPr>
              <w:t>Gravité (cible)</w:t>
            </w:r>
          </w:p>
        </w:tc>
        <w:tc>
          <w:tcPr>
            <w:tcW w:type="dxa" w:w="4703"/>
            <w:shd w:val="clear" w:color="auto" w:fill="D9E1F2"/>
          </w:tcPr>
          <w:p>
            <w:pPr>
              <w:spacing w:before="20" w:after="20"/>
              <w:jc w:val="left"/>
            </w:pPr>
            <w:r/>
            <w:r>
              <w:rPr>
                <w:b w:val="0"/>
                <w:sz w:val="20"/>
              </w:rPr>
              <w:t>Blessé léger  ·  Blessé hospitalisé  ·  Tué</w:t>
            </w:r>
          </w:p>
        </w:tc>
      </w:tr>
    </w:tbl>
    <w:p>
      <w:pPr>
        <w:spacing w:before="40" w:after="160"/>
        <w:jc w:val="center"/>
      </w:pPr>
      <w:r>
        <w:rPr>
          <w:rFonts w:ascii="Calibri" w:hAnsi="Calibri"/>
          <w:b w:val="0"/>
          <w:i/>
          <w:color w:val="505050"/>
          <w:sz w:val="18"/>
        </w:rPr>
        <w:t>Tableau 1 — Description des variables du jeu de données BAAC 2024</w:t>
      </w:r>
    </w:p>
    <w:p>
      <w:pPr>
        <w:pStyle w:val="Heading2"/>
        <w:jc w:val="left"/>
      </w:pPr>
      <w:r>
        <w:rPr>
          <w:b/>
          <w:color w:val="00467F"/>
          <w:sz w:val="24"/>
        </w:rPr>
        <w:t>1.2 Questions de recherche</w:t>
      </w:r>
    </w:p>
    <w:p>
      <w:pPr>
        <w:spacing w:before="0" w:after="120"/>
        <w:jc w:val="both"/>
      </w:pPr>
      <w:r>
        <w:rPr>
          <w:rFonts w:ascii="Calibri" w:hAnsi="Calibri"/>
          <w:b w:val="0"/>
          <w:i w:val="0"/>
          <w:sz w:val="22"/>
        </w:rPr>
        <w:t>Ce projet répond aux trois questions suivantes :</w:t>
      </w:r>
    </w:p>
    <w:p>
      <w:pPr>
        <w:pStyle w:val="ListBullet"/>
        <w:spacing w:after="60"/>
      </w:pPr>
      <w:r>
        <w:rPr>
          <w:rFonts w:ascii="Calibri" w:hAnsi="Calibri"/>
          <w:b w:val="0"/>
          <w:i w:val="0"/>
          <w:sz w:val="21"/>
        </w:rPr>
        <w:t>Quels facteurs environnementaux, infrastructurels et comportementaux influencent le plus la gravité des accidents ?</w:t>
      </w:r>
    </w:p>
    <w:p>
      <w:pPr>
        <w:pStyle w:val="ListBullet"/>
        <w:spacing w:after="60"/>
      </w:pPr>
      <w:r>
        <w:rPr>
          <w:rFonts w:ascii="Calibri" w:hAnsi="Calibri"/>
          <w:b w:val="0"/>
          <w:i w:val="0"/>
          <w:sz w:val="21"/>
        </w:rPr>
        <w:t>Peut-on prédire la gravité d'un accident à partir de ses caractéristiques observables avant/pendant l'accident ?</w:t>
      </w:r>
    </w:p>
    <w:p>
      <w:pPr>
        <w:pStyle w:val="ListBullet"/>
        <w:spacing w:after="60"/>
      </w:pPr>
      <w:r>
        <w:rPr>
          <w:rFonts w:ascii="Calibri" w:hAnsi="Calibri"/>
          <w:b w:val="0"/>
          <w:i w:val="0"/>
          <w:sz w:val="21"/>
        </w:rPr>
        <w:t>Quel algorithme de machine learning offre les meilleures performances sur ce problème multi-classe fortement déséquilibré ?</w:t>
      </w:r>
    </w:p>
    <w:p>
      <w:r>
        <w:br w:type="page"/>
      </w:r>
    </w:p>
    <w:p>
      <w:pPr>
        <w:pStyle w:val="Heading1"/>
        <w:jc w:val="left"/>
      </w:pPr>
      <w:r>
        <w:rPr>
          <w:b/>
          <w:color w:val="00467F"/>
          <w:sz w:val="28"/>
        </w:rPr>
        <w:t>2. Exploration et Analyse des Données</w:t>
      </w:r>
    </w:p>
    <w:p>
      <w:pPr>
        <w:pStyle w:val="Heading2"/>
        <w:jc w:val="left"/>
      </w:pPr>
      <w:r>
        <w:rPr>
          <w:b/>
          <w:color w:val="00467F"/>
          <w:sz w:val="24"/>
        </w:rPr>
        <w:t>2.1 Distribution de la variable cible</w:t>
      </w:r>
    </w:p>
    <w:p>
      <w:pPr>
        <w:spacing w:before="0" w:after="120"/>
        <w:jc w:val="both"/>
      </w:pPr>
      <w:r>
        <w:rPr>
          <w:rFonts w:ascii="Calibri" w:hAnsi="Calibri"/>
          <w:b w:val="0"/>
          <w:i w:val="0"/>
          <w:sz w:val="22"/>
        </w:rPr>
        <w:t>La variable cible présente un fort déséquilibre de classes, caractéristique des jeux de données d'accidents réels. Sur 54 401 usagers enregistrés :</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3864"/>
          </w:tcPr>
          <w:p>
            <w:pPr>
              <w:spacing w:before="20" w:after="20"/>
              <w:jc w:val="center"/>
            </w:pPr>
            <w:r/>
            <w:r>
              <w:rPr>
                <w:b/>
                <w:color w:val="FFFFFF"/>
                <w:sz w:val="20"/>
              </w:rPr>
              <w:t>Classe</w:t>
            </w:r>
          </w:p>
        </w:tc>
        <w:tc>
          <w:tcPr>
            <w:tcW w:type="dxa" w:w="2351"/>
            <w:shd w:val="clear" w:color="auto" w:fill="1F3864"/>
          </w:tcPr>
          <w:p>
            <w:pPr>
              <w:spacing w:before="20" w:after="20"/>
              <w:jc w:val="center"/>
            </w:pPr>
            <w:r/>
            <w:r>
              <w:rPr>
                <w:b/>
                <w:color w:val="FFFFFF"/>
                <w:sz w:val="20"/>
              </w:rPr>
              <w:t>Effectif</w:t>
            </w:r>
          </w:p>
        </w:tc>
        <w:tc>
          <w:tcPr>
            <w:tcW w:type="dxa" w:w="2351"/>
            <w:shd w:val="clear" w:color="auto" w:fill="1F3864"/>
          </w:tcPr>
          <w:p>
            <w:pPr>
              <w:spacing w:before="20" w:after="20"/>
              <w:jc w:val="center"/>
            </w:pPr>
            <w:r/>
            <w:r>
              <w:rPr>
                <w:b/>
                <w:color w:val="FFFFFF"/>
                <w:sz w:val="20"/>
              </w:rPr>
              <w:t>Part</w:t>
            </w:r>
          </w:p>
        </w:tc>
        <w:tc>
          <w:tcPr>
            <w:tcW w:type="dxa" w:w="2351"/>
            <w:shd w:val="clear" w:color="auto" w:fill="1F3864"/>
          </w:tcPr>
          <w:p>
            <w:pPr>
              <w:spacing w:before="20" w:after="20"/>
              <w:jc w:val="center"/>
            </w:pPr>
            <w:r/>
            <w:r>
              <w:rPr>
                <w:b/>
                <w:color w:val="FFFFFF"/>
                <w:sz w:val="20"/>
              </w:rPr>
              <w:t>Remarque</w:t>
            </w:r>
          </w:p>
        </w:tc>
      </w:tr>
      <w:tr>
        <w:tc>
          <w:tcPr>
            <w:tcW w:type="dxa" w:w="2351"/>
            <w:shd w:val="clear" w:color="auto" w:fill="EBF5EB"/>
          </w:tcPr>
          <w:p>
            <w:pPr>
              <w:spacing w:before="20" w:after="20"/>
              <w:jc w:val="left"/>
            </w:pPr>
            <w:r/>
            <w:r>
              <w:rPr>
                <w:b w:val="0"/>
                <w:sz w:val="20"/>
              </w:rPr>
              <w:t>Blessé léger</w:t>
            </w:r>
          </w:p>
        </w:tc>
        <w:tc>
          <w:tcPr>
            <w:tcW w:type="dxa" w:w="2351"/>
            <w:shd w:val="clear" w:color="auto" w:fill="EBF5EB"/>
          </w:tcPr>
          <w:p>
            <w:pPr>
              <w:spacing w:before="20" w:after="20"/>
              <w:jc w:val="left"/>
            </w:pPr>
            <w:r/>
            <w:r>
              <w:rPr>
                <w:b w:val="0"/>
                <w:sz w:val="20"/>
              </w:rPr>
              <w:t>34 743</w:t>
            </w:r>
          </w:p>
        </w:tc>
        <w:tc>
          <w:tcPr>
            <w:tcW w:type="dxa" w:w="2351"/>
            <w:shd w:val="clear" w:color="auto" w:fill="EBF5EB"/>
          </w:tcPr>
          <w:p>
            <w:pPr>
              <w:spacing w:before="20" w:after="20"/>
              <w:jc w:val="left"/>
            </w:pPr>
            <w:r/>
            <w:r>
              <w:rPr>
                <w:b w:val="0"/>
                <w:sz w:val="20"/>
              </w:rPr>
              <w:t>63,9 %</w:t>
            </w:r>
          </w:p>
        </w:tc>
        <w:tc>
          <w:tcPr>
            <w:tcW w:type="dxa" w:w="2351"/>
            <w:shd w:val="clear" w:color="auto" w:fill="EBF5EB"/>
          </w:tcPr>
          <w:p>
            <w:pPr>
              <w:spacing w:before="20" w:after="20"/>
              <w:jc w:val="left"/>
            </w:pPr>
            <w:r/>
            <w:r>
              <w:rPr>
                <w:b w:val="0"/>
                <w:sz w:val="20"/>
              </w:rPr>
              <w:t>Classe largement majoritaire</w:t>
            </w:r>
          </w:p>
        </w:tc>
      </w:tr>
      <w:tr>
        <w:tc>
          <w:tcPr>
            <w:tcW w:type="dxa" w:w="2351"/>
            <w:shd w:val="clear" w:color="auto" w:fill="FFF3CD"/>
          </w:tcPr>
          <w:p>
            <w:pPr>
              <w:spacing w:before="20" w:after="20"/>
              <w:jc w:val="left"/>
            </w:pPr>
            <w:r/>
            <w:r>
              <w:rPr>
                <w:b w:val="0"/>
                <w:sz w:val="20"/>
              </w:rPr>
              <w:t>Blessé hospitalisé</w:t>
            </w:r>
          </w:p>
        </w:tc>
        <w:tc>
          <w:tcPr>
            <w:tcW w:type="dxa" w:w="2351"/>
            <w:shd w:val="clear" w:color="auto" w:fill="FFF3CD"/>
          </w:tcPr>
          <w:p>
            <w:pPr>
              <w:spacing w:before="20" w:after="20"/>
              <w:jc w:val="left"/>
            </w:pPr>
            <w:r/>
            <w:r>
              <w:rPr>
                <w:b w:val="0"/>
                <w:sz w:val="20"/>
              </w:rPr>
              <w:t>16 432</w:t>
            </w:r>
          </w:p>
        </w:tc>
        <w:tc>
          <w:tcPr>
            <w:tcW w:type="dxa" w:w="2351"/>
            <w:shd w:val="clear" w:color="auto" w:fill="FFF3CD"/>
          </w:tcPr>
          <w:p>
            <w:pPr>
              <w:spacing w:before="20" w:after="20"/>
              <w:jc w:val="left"/>
            </w:pPr>
            <w:r/>
            <w:r>
              <w:rPr>
                <w:b w:val="0"/>
                <w:sz w:val="20"/>
              </w:rPr>
              <w:t>30,2 %</w:t>
            </w:r>
          </w:p>
        </w:tc>
        <w:tc>
          <w:tcPr>
            <w:tcW w:type="dxa" w:w="2351"/>
            <w:shd w:val="clear" w:color="auto" w:fill="FFF3CD"/>
          </w:tcPr>
          <w:p>
            <w:pPr>
              <w:spacing w:before="20" w:after="20"/>
              <w:jc w:val="left"/>
            </w:pPr>
            <w:r/>
            <w:r>
              <w:rPr>
                <w:b w:val="0"/>
                <w:sz w:val="20"/>
              </w:rPr>
              <w:t>Classe intermédiaire</w:t>
            </w:r>
          </w:p>
        </w:tc>
      </w:tr>
      <w:tr>
        <w:tc>
          <w:tcPr>
            <w:tcW w:type="dxa" w:w="2351"/>
            <w:shd w:val="clear" w:color="auto" w:fill="FDECEA"/>
          </w:tcPr>
          <w:p>
            <w:pPr>
              <w:spacing w:before="20" w:after="20"/>
              <w:jc w:val="left"/>
            </w:pPr>
            <w:r/>
            <w:r>
              <w:rPr>
                <w:b w:val="0"/>
                <w:sz w:val="20"/>
              </w:rPr>
              <w:t>Tué</w:t>
            </w:r>
          </w:p>
        </w:tc>
        <w:tc>
          <w:tcPr>
            <w:tcW w:type="dxa" w:w="2351"/>
            <w:shd w:val="clear" w:color="auto" w:fill="FDECEA"/>
          </w:tcPr>
          <w:p>
            <w:pPr>
              <w:spacing w:before="20" w:after="20"/>
              <w:jc w:val="left"/>
            </w:pPr>
            <w:r/>
            <w:r>
              <w:rPr>
                <w:b w:val="0"/>
                <w:sz w:val="20"/>
              </w:rPr>
              <w:t>3 226</w:t>
            </w:r>
          </w:p>
        </w:tc>
        <w:tc>
          <w:tcPr>
            <w:tcW w:type="dxa" w:w="2351"/>
            <w:shd w:val="clear" w:color="auto" w:fill="FDECEA"/>
          </w:tcPr>
          <w:p>
            <w:pPr>
              <w:spacing w:before="20" w:after="20"/>
              <w:jc w:val="left"/>
            </w:pPr>
            <w:r/>
            <w:r>
              <w:rPr>
                <w:b w:val="0"/>
                <w:sz w:val="20"/>
              </w:rPr>
              <w:t xml:space="preserve"> 5,9 %</w:t>
            </w:r>
          </w:p>
        </w:tc>
        <w:tc>
          <w:tcPr>
            <w:tcW w:type="dxa" w:w="2351"/>
            <w:shd w:val="clear" w:color="auto" w:fill="FDECEA"/>
          </w:tcPr>
          <w:p>
            <w:pPr>
              <w:spacing w:before="20" w:after="20"/>
              <w:jc w:val="left"/>
            </w:pPr>
            <w:r/>
            <w:r>
              <w:rPr>
                <w:b w:val="0"/>
                <w:sz w:val="20"/>
              </w:rPr>
              <w:t>Classe critique et très minoritaire</w:t>
            </w:r>
          </w:p>
        </w:tc>
      </w:tr>
    </w:tbl>
    <w:p>
      <w:pPr>
        <w:spacing w:before="40" w:after="160"/>
        <w:jc w:val="center"/>
      </w:pPr>
      <w:r>
        <w:rPr>
          <w:rFonts w:ascii="Calibri" w:hAnsi="Calibri"/>
          <w:b w:val="0"/>
          <w:i/>
          <w:color w:val="505050"/>
          <w:sz w:val="18"/>
        </w:rPr>
        <w:t>Tableau 2 — Distribution de la variable cible (gravité) — BAAC 2024</w:t>
      </w:r>
    </w:p>
    <w:p>
      <w:pPr>
        <w:spacing w:before="0" w:after="120"/>
        <w:jc w:val="both"/>
      </w:pPr>
      <w:r>
        <w:rPr>
          <w:rFonts w:ascii="Calibri" w:hAnsi="Calibri"/>
          <w:b w:val="0"/>
          <w:i w:val="0"/>
          <w:sz w:val="22"/>
        </w:rPr>
        <w:t>Le ratio déséquilibre entre la classe majoritaire (Blessé léger) et la classe minoritaire (Tué) est de 10,8:1. Ce déséquilibre sévère est un défi central de la modélisation : un classifieur naïf prédisant systématiquement 'Blessé léger' atteindrait 63,9 % d'accuracy sans aucune valeur prédictive réelle. Toutes les décisions de modélisation tiennent compte de cette contrainte (class_weight='balanced', métriques macro).</w:t>
      </w:r>
    </w:p>
    <w:p>
      <w:pPr>
        <w:pStyle w:val="Heading2"/>
        <w:jc w:val="left"/>
      </w:pPr>
      <w:r>
        <w:rPr>
          <w:b/>
          <w:color w:val="00467F"/>
          <w:sz w:val="24"/>
        </w:rPr>
        <w:t>2.2 Analyse des variables explicatives</w:t>
      </w:r>
    </w:p>
    <w:p>
      <w:pPr>
        <w:spacing w:before="0" w:after="120"/>
        <w:jc w:val="both"/>
      </w:pPr>
      <w:r>
        <w:rPr>
          <w:rFonts w:ascii="Calibri" w:hAnsi="Calibri"/>
          <w:b w:val="0"/>
          <w:i w:val="0"/>
          <w:sz w:val="22"/>
        </w:rPr>
        <w:t>L'analyse exploratoire a mis en évidence plusieurs relations significatives entre les caractéristiques et la gravité des accidents :</w:t>
      </w:r>
    </w:p>
    <w:p>
      <w:pPr>
        <w:spacing w:before="0" w:after="120"/>
        <w:jc w:val="both"/>
      </w:pPr>
      <w:r>
        <w:rPr>
          <w:rFonts w:ascii="Calibri" w:hAnsi="Calibri"/>
          <w:b/>
          <w:i w:val="0"/>
          <w:sz w:val="21"/>
        </w:rPr>
        <w:t>Vitesse maximale autorisée</w:t>
      </w:r>
    </w:p>
    <w:p>
      <w:pPr>
        <w:spacing w:before="0" w:after="120"/>
        <w:jc w:val="both"/>
      </w:pPr>
      <w:r>
        <w:rPr>
          <w:rFonts w:ascii="Calibri" w:hAnsi="Calibri"/>
          <w:b w:val="0"/>
          <w:i w:val="0"/>
          <w:sz w:val="22"/>
        </w:rPr>
        <w:t>C'est la variable la plus fortement corrélée à la gravité. Les accidents mortels se produisent de manière disproportionnée sur les routes à grande vitesse (80-130 km/h), tandis que les blessés légers sont sur-représentés en zone urbaine (30-50 km/h). La médiane de vitesse pour les accidents mortels est de 80 km/h contre 50 km/h pour les blessés légers. Cette variable présente cependant 760 valeurs manquantes (1,4 %).</w:t>
      </w:r>
    </w:p>
    <w:p>
      <w:pPr>
        <w:spacing w:before="0" w:after="120"/>
        <w:jc w:val="both"/>
      </w:pPr>
      <w:r>
        <w:rPr>
          <w:rFonts w:ascii="Calibri" w:hAnsi="Calibri"/>
          <w:b/>
          <w:i w:val="0"/>
          <w:sz w:val="21"/>
        </w:rPr>
        <w:t>Luminosité et conditions météorologiques</w:t>
      </w:r>
    </w:p>
    <w:p>
      <w:pPr>
        <w:spacing w:before="0" w:after="120"/>
        <w:jc w:val="both"/>
      </w:pPr>
      <w:r>
        <w:rPr>
          <w:rFonts w:ascii="Calibri" w:hAnsi="Calibri"/>
          <w:b w:val="0"/>
          <w:i w:val="0"/>
          <w:sz w:val="22"/>
        </w:rPr>
        <w:t>Contrairement à l'intuition, les accidents mortels se produisent proportionnellement plus souvent en plein jour (plus de trafic) qu'en conditions d'obscurité. En revanche, la nuit sans éclairage public est significativement associée à une plus grande gravité relative. La météo normale domine toutes les classes, confirmant que l'état de la route ne suffit pas à expliquer la gravité — la vitesse et le comportement sont prédominants.</w:t>
      </w:r>
    </w:p>
    <w:p>
      <w:pPr>
        <w:spacing w:before="0" w:after="120"/>
        <w:jc w:val="both"/>
      </w:pPr>
      <w:r>
        <w:rPr>
          <w:rFonts w:ascii="Calibri" w:hAnsi="Calibri"/>
          <w:b/>
          <w:i w:val="0"/>
          <w:sz w:val="21"/>
        </w:rPr>
        <w:t>Catégorie de route</w:t>
      </w:r>
    </w:p>
    <w:p>
      <w:pPr>
        <w:spacing w:before="0" w:after="120"/>
        <w:jc w:val="both"/>
      </w:pPr>
      <w:r>
        <w:rPr>
          <w:rFonts w:ascii="Calibri" w:hAnsi="Calibri"/>
          <w:b w:val="0"/>
          <w:i w:val="0"/>
          <w:sz w:val="22"/>
        </w:rPr>
        <w:t>Les routes nationales et départementales hors agglomération concentrent la majorité des accidents mortels, malgré un trafic moindre que les autoroutes. Ce paradoxe s'explique par l'absence de séparateur central et des vitesses pratiquées élevées. Les voies communales, à forte densité d'accidents, restent majoritairement des accidents légers.</w:t>
      </w:r>
    </w:p>
    <w:p>
      <w:pPr>
        <w:spacing w:before="0" w:after="120"/>
        <w:jc w:val="both"/>
      </w:pPr>
      <w:r>
        <w:rPr>
          <w:rFonts w:ascii="Calibri" w:hAnsi="Calibri"/>
          <w:b/>
          <w:i w:val="0"/>
          <w:sz w:val="21"/>
        </w:rPr>
        <w:t>Type de collision</w:t>
      </w:r>
    </w:p>
    <w:p>
      <w:pPr>
        <w:spacing w:before="0" w:after="120"/>
        <w:jc w:val="both"/>
      </w:pPr>
      <w:r>
        <w:rPr>
          <w:rFonts w:ascii="Calibri" w:hAnsi="Calibri"/>
          <w:b w:val="0"/>
          <w:i w:val="0"/>
          <w:sz w:val="22"/>
        </w:rPr>
        <w:t>Les collisions frontales présentent le taux de mortalité le plus élevé : la dispersion cinétique lors d'un choc frontal à 80 km/h équivaut à 160 km/h d'énergie absorbée par chaque véhicule. Les collisions par l'arrière et les accidents sans collision (sortie de route) montrent également une sévérité élevée sur voies rapides.</w:t>
      </w:r>
    </w:p>
    <w:p>
      <w:pPr>
        <w:pStyle w:val="Heading2"/>
        <w:jc w:val="left"/>
      </w:pPr>
      <w:r>
        <w:rPr>
          <w:b/>
          <w:color w:val="00467F"/>
          <w:sz w:val="24"/>
        </w:rPr>
        <w:t>2.3 Valeurs aberrantes et incohérences</w:t>
      </w:r>
    </w:p>
    <w:p>
      <w:pPr>
        <w:spacing w:before="0" w:after="120"/>
        <w:jc w:val="both"/>
      </w:pPr>
      <w:r>
        <w:rPr>
          <w:rFonts w:ascii="Calibri" w:hAnsi="Calibri"/>
          <w:b w:val="0"/>
          <w:i w:val="0"/>
          <w:sz w:val="22"/>
        </w:rPr>
        <w:t>L'exploration a révélé plusieurs anomalies nécessitant un traitement :</w:t>
      </w:r>
    </w:p>
    <w:p>
      <w:pPr>
        <w:pStyle w:val="ListBullet"/>
        <w:spacing w:after="60"/>
      </w:pPr>
      <w:r>
        <w:rPr>
          <w:rFonts w:ascii="Calibri" w:hAnsi="Calibri"/>
          <w:b w:val="0"/>
          <w:i w:val="0"/>
          <w:sz w:val="21"/>
        </w:rPr>
        <w:t>Vitesses &gt; 130 km/h (20 cas) : supérieures à la limite légale française — traitées comme aberrantes et converties en valeurs manquantes.</w:t>
      </w:r>
    </w:p>
    <w:p>
      <w:pPr>
        <w:pStyle w:val="ListBullet"/>
        <w:spacing w:after="60"/>
      </w:pPr>
      <w:r>
        <w:rPr>
          <w:rFonts w:ascii="Calibri" w:hAnsi="Calibri"/>
          <w:b w:val="0"/>
          <w:i w:val="0"/>
          <w:sz w:val="21"/>
        </w:rPr>
        <w:t>Doublons exacts : 24,3 % des lignes (13 221 enregistrements) sont des duplicatas. Ces doublons correspondent à des accidents impliquant plusieurs usagers avec les mêmes caractéristiques environnementales. Ils ont été conservés conformément à la structure BAAC (1 ligne = 1 usager).</w:t>
      </w:r>
    </w:p>
    <w:p>
      <w:pPr>
        <w:pStyle w:val="ListBullet"/>
        <w:spacing w:after="60"/>
      </w:pPr>
      <w:r>
        <w:rPr>
          <w:rFonts w:ascii="Calibri" w:hAnsi="Calibri"/>
          <w:b w:val="0"/>
          <w:i w:val="0"/>
          <w:sz w:val="21"/>
        </w:rPr>
        <w:t>Valeurs 'Non renseigné' : converties en modalité 'Inconnu' (signal d'absence d'information potentiellement corrélé à la gravité).</w:t>
      </w:r>
    </w:p>
    <w:p>
      <w:pPr>
        <w:pStyle w:val="ListBullet"/>
        <w:spacing w:after="60"/>
      </w:pPr>
      <w:r>
        <w:rPr>
          <w:rFonts w:ascii="Calibri" w:hAnsi="Calibri"/>
          <w:b w:val="0"/>
          <w:i w:val="0"/>
          <w:sz w:val="21"/>
        </w:rPr>
        <w:t>Identifiant Num_Acc corrompu : tous les identifiants affichent '2,02E+11' suite à un export Excel — colonne supprimée.</w:t>
      </w:r>
    </w:p>
    <w:p>
      <w:r>
        <w:br w:type="page"/>
      </w:r>
    </w:p>
    <w:p>
      <w:pPr>
        <w:pStyle w:val="Heading1"/>
        <w:jc w:val="left"/>
      </w:pPr>
      <w:r>
        <w:rPr>
          <w:b/>
          <w:color w:val="00467F"/>
          <w:sz w:val="28"/>
        </w:rPr>
        <w:t>3. Nettoyage et Préparation des Données</w:t>
      </w:r>
    </w:p>
    <w:p>
      <w:pPr>
        <w:pStyle w:val="Heading2"/>
        <w:jc w:val="left"/>
      </w:pPr>
      <w:r>
        <w:rPr>
          <w:b/>
          <w:color w:val="00467F"/>
          <w:sz w:val="24"/>
        </w:rPr>
        <w:t>3.1 Traitement des valeurs manquantes</w:t>
      </w:r>
    </w:p>
    <w:p>
      <w:pPr>
        <w:spacing w:before="0" w:after="120"/>
        <w:jc w:val="both"/>
      </w:pPr>
      <w:r>
        <w:rPr>
          <w:rFonts w:ascii="Calibri" w:hAnsi="Calibri"/>
          <w:b w:val="0"/>
          <w:i w:val="0"/>
          <w:sz w:val="22"/>
        </w:rPr>
        <w:t>Les valeurs manquantes sont traitées via une imputation par la médiane, appliquée après la séparation train/test (à l'intérieur du pipeline sklearn) pour éviter toute fuite de données (data leakage). Les statistiques de la médiane sont calculées exclusivement sur le jeu d'entraînement et appliquées au jeu de test.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3864"/>
          </w:tcPr>
          <w:p>
            <w:pPr>
              <w:spacing w:before="20" w:after="20"/>
              <w:jc w:val="center"/>
            </w:pPr>
            <w:r/>
            <w:r>
              <w:rPr>
                <w:b/>
                <w:color w:val="FFFFFF"/>
                <w:sz w:val="20"/>
              </w:rPr>
              <w:t>Variable</w:t>
            </w:r>
          </w:p>
        </w:tc>
        <w:tc>
          <w:tcPr>
            <w:tcW w:type="dxa" w:w="2351"/>
            <w:shd w:val="clear" w:color="auto" w:fill="1F3864"/>
          </w:tcPr>
          <w:p>
            <w:pPr>
              <w:spacing w:before="20" w:after="20"/>
              <w:jc w:val="center"/>
            </w:pPr>
            <w:r/>
            <w:r>
              <w:rPr>
                <w:b/>
                <w:color w:val="FFFFFF"/>
                <w:sz w:val="20"/>
              </w:rPr>
              <w:t>Valeurs manquantes</w:t>
            </w:r>
          </w:p>
        </w:tc>
        <w:tc>
          <w:tcPr>
            <w:tcW w:type="dxa" w:w="2351"/>
            <w:shd w:val="clear" w:color="auto" w:fill="1F3864"/>
          </w:tcPr>
          <w:p>
            <w:pPr>
              <w:spacing w:before="20" w:after="20"/>
              <w:jc w:val="center"/>
            </w:pPr>
            <w:r/>
            <w:r>
              <w:rPr>
                <w:b/>
                <w:color w:val="FFFFFF"/>
                <w:sz w:val="20"/>
              </w:rPr>
              <w:t>Pourcentage</w:t>
            </w:r>
          </w:p>
        </w:tc>
        <w:tc>
          <w:tcPr>
            <w:tcW w:type="dxa" w:w="2351"/>
            <w:shd w:val="clear" w:color="auto" w:fill="1F3864"/>
          </w:tcPr>
          <w:p>
            <w:pPr>
              <w:spacing w:before="20" w:after="20"/>
              <w:jc w:val="center"/>
            </w:pPr>
            <w:r/>
            <w:r>
              <w:rPr>
                <w:b/>
                <w:color w:val="FFFFFF"/>
                <w:sz w:val="20"/>
              </w:rPr>
              <w:t>Traitement</w:t>
            </w:r>
          </w:p>
        </w:tc>
      </w:tr>
      <w:tr>
        <w:tc>
          <w:tcPr>
            <w:tcW w:type="dxa" w:w="2351"/>
            <w:shd w:val="clear" w:color="auto" w:fill="FFFFFF"/>
          </w:tcPr>
          <w:p>
            <w:pPr>
              <w:spacing w:before="20" w:after="20"/>
              <w:jc w:val="left"/>
            </w:pPr>
            <w:r/>
            <w:r>
              <w:rPr>
                <w:b w:val="0"/>
                <w:sz w:val="20"/>
              </w:rPr>
              <w:t>Météo (conditions atmos.)</w:t>
            </w:r>
          </w:p>
        </w:tc>
        <w:tc>
          <w:tcPr>
            <w:tcW w:type="dxa" w:w="2351"/>
            <w:shd w:val="clear" w:color="auto" w:fill="FFFFFF"/>
          </w:tcPr>
          <w:p>
            <w:pPr>
              <w:spacing w:before="20" w:after="20"/>
              <w:jc w:val="left"/>
            </w:pPr>
            <w:r/>
            <w:r>
              <w:rPr>
                <w:b w:val="0"/>
                <w:sz w:val="20"/>
              </w:rPr>
              <w:t>11</w:t>
            </w:r>
          </w:p>
        </w:tc>
        <w:tc>
          <w:tcPr>
            <w:tcW w:type="dxa" w:w="2351"/>
            <w:shd w:val="clear" w:color="auto" w:fill="FFFFFF"/>
          </w:tcPr>
          <w:p>
            <w:pPr>
              <w:spacing w:before="20" w:after="20"/>
              <w:jc w:val="left"/>
            </w:pPr>
            <w:r/>
            <w:r>
              <w:rPr>
                <w:b w:val="0"/>
                <w:sz w:val="20"/>
              </w:rPr>
              <w:t>0,02 %</w:t>
            </w:r>
          </w:p>
        </w:tc>
        <w:tc>
          <w:tcPr>
            <w:tcW w:type="dxa" w:w="2351"/>
            <w:shd w:val="clear" w:color="auto" w:fill="FFFFFF"/>
          </w:tcPr>
          <w:p>
            <w:pPr>
              <w:spacing w:before="20" w:after="20"/>
              <w:jc w:val="left"/>
            </w:pPr>
            <w:r/>
            <w:r>
              <w:rPr>
                <w:b w:val="0"/>
                <w:sz w:val="20"/>
              </w:rPr>
              <w:t>Modalité manquante → imputation médiane</w:t>
            </w:r>
          </w:p>
        </w:tc>
      </w:tr>
      <w:tr>
        <w:tc>
          <w:tcPr>
            <w:tcW w:type="dxa" w:w="2351"/>
            <w:shd w:val="clear" w:color="auto" w:fill="D9E1F2"/>
          </w:tcPr>
          <w:p>
            <w:pPr>
              <w:spacing w:before="20" w:after="20"/>
              <w:jc w:val="left"/>
            </w:pPr>
            <w:r/>
            <w:r>
              <w:rPr>
                <w:b w:val="0"/>
                <w:sz w:val="20"/>
              </w:rPr>
              <w:t>Vitesse_num</w:t>
            </w:r>
          </w:p>
        </w:tc>
        <w:tc>
          <w:tcPr>
            <w:tcW w:type="dxa" w:w="2351"/>
            <w:shd w:val="clear" w:color="auto" w:fill="D9E1F2"/>
          </w:tcPr>
          <w:p>
            <w:pPr>
              <w:spacing w:before="20" w:after="20"/>
              <w:jc w:val="left"/>
            </w:pPr>
            <w:r/>
            <w:r>
              <w:rPr>
                <w:b w:val="0"/>
                <w:sz w:val="20"/>
              </w:rPr>
              <w:t>760</w:t>
            </w:r>
          </w:p>
        </w:tc>
        <w:tc>
          <w:tcPr>
            <w:tcW w:type="dxa" w:w="2351"/>
            <w:shd w:val="clear" w:color="auto" w:fill="D9E1F2"/>
          </w:tcPr>
          <w:p>
            <w:pPr>
              <w:spacing w:before="20" w:after="20"/>
              <w:jc w:val="left"/>
            </w:pPr>
            <w:r/>
            <w:r>
              <w:rPr>
                <w:b w:val="0"/>
                <w:sz w:val="20"/>
              </w:rPr>
              <w:t>1,40 %</w:t>
            </w:r>
          </w:p>
        </w:tc>
        <w:tc>
          <w:tcPr>
            <w:tcW w:type="dxa" w:w="2351"/>
            <w:shd w:val="clear" w:color="auto" w:fill="D9E1F2"/>
          </w:tcPr>
          <w:p>
            <w:pPr>
              <w:spacing w:before="20" w:after="20"/>
              <w:jc w:val="left"/>
            </w:pPr>
            <w:r/>
            <w:r>
              <w:rPr>
                <w:b w:val="0"/>
                <w:sz w:val="20"/>
              </w:rPr>
              <w:t>Non renseigné ou &gt; 130 km/h → NaN</w:t>
            </w:r>
          </w:p>
        </w:tc>
      </w:tr>
      <w:tr>
        <w:tc>
          <w:tcPr>
            <w:tcW w:type="dxa" w:w="2351"/>
            <w:shd w:val="clear" w:color="auto" w:fill="FFFFFF"/>
          </w:tcPr>
          <w:p>
            <w:pPr>
              <w:spacing w:before="20" w:after="20"/>
              <w:jc w:val="left"/>
            </w:pPr>
            <w:r/>
            <w:r>
              <w:rPr>
                <w:b w:val="0"/>
                <w:sz w:val="20"/>
              </w:rPr>
              <w:t>Voies_num</w:t>
            </w:r>
          </w:p>
        </w:tc>
        <w:tc>
          <w:tcPr>
            <w:tcW w:type="dxa" w:w="2351"/>
            <w:shd w:val="clear" w:color="auto" w:fill="FFFFFF"/>
          </w:tcPr>
          <w:p>
            <w:pPr>
              <w:spacing w:before="20" w:after="20"/>
              <w:jc w:val="left"/>
            </w:pPr>
            <w:r/>
            <w:r>
              <w:rPr>
                <w:b w:val="0"/>
                <w:sz w:val="20"/>
              </w:rPr>
              <w:t>2 264</w:t>
            </w:r>
          </w:p>
        </w:tc>
        <w:tc>
          <w:tcPr>
            <w:tcW w:type="dxa" w:w="2351"/>
            <w:shd w:val="clear" w:color="auto" w:fill="FFFFFF"/>
          </w:tcPr>
          <w:p>
            <w:pPr>
              <w:spacing w:before="20" w:after="20"/>
              <w:jc w:val="left"/>
            </w:pPr>
            <w:r/>
            <w:r>
              <w:rPr>
                <w:b w:val="0"/>
                <w:sz w:val="20"/>
              </w:rPr>
              <w:t>4,16 %</w:t>
            </w:r>
          </w:p>
        </w:tc>
        <w:tc>
          <w:tcPr>
            <w:tcW w:type="dxa" w:w="2351"/>
            <w:shd w:val="clear" w:color="auto" w:fill="FFFFFF"/>
          </w:tcPr>
          <w:p>
            <w:pPr>
              <w:spacing w:before="20" w:after="20"/>
              <w:jc w:val="left"/>
            </w:pPr>
            <w:r/>
            <w:r>
              <w:rPr>
                <w:b w:val="0"/>
                <w:sz w:val="20"/>
              </w:rPr>
              <w:t>Non renseigné ou valeurs multiples (#VALEURMULTI) → NaN</w:t>
            </w:r>
          </w:p>
        </w:tc>
      </w:tr>
      <w:tr>
        <w:tc>
          <w:tcPr>
            <w:tcW w:type="dxa" w:w="2351"/>
            <w:shd w:val="clear" w:color="auto" w:fill="FFF9C4"/>
          </w:tcPr>
          <w:p>
            <w:pPr>
              <w:spacing w:before="20" w:after="20"/>
              <w:jc w:val="left"/>
            </w:pPr>
            <w:r/>
            <w:r>
              <w:rPr>
                <w:b/>
                <w:sz w:val="20"/>
              </w:rPr>
              <w:t>TOTAL</w:t>
            </w:r>
          </w:p>
        </w:tc>
        <w:tc>
          <w:tcPr>
            <w:tcW w:type="dxa" w:w="2351"/>
            <w:shd w:val="clear" w:color="auto" w:fill="FFF9C4"/>
          </w:tcPr>
          <w:p>
            <w:pPr>
              <w:spacing w:before="20" w:after="20"/>
              <w:jc w:val="left"/>
            </w:pPr>
            <w:r/>
            <w:r>
              <w:rPr>
                <w:b/>
                <w:sz w:val="20"/>
              </w:rPr>
              <w:t>3 035</w:t>
            </w:r>
          </w:p>
        </w:tc>
        <w:tc>
          <w:tcPr>
            <w:tcW w:type="dxa" w:w="2351"/>
            <w:shd w:val="clear" w:color="auto" w:fill="FFF9C4"/>
          </w:tcPr>
          <w:p>
            <w:pPr>
              <w:spacing w:before="20" w:after="20"/>
              <w:jc w:val="left"/>
            </w:pPr>
            <w:r/>
            <w:r>
              <w:rPr>
                <w:b/>
                <w:sz w:val="20"/>
              </w:rPr>
              <w:t>5,58 %</w:t>
            </w:r>
          </w:p>
        </w:tc>
        <w:tc>
          <w:tcPr>
            <w:tcW w:type="dxa" w:w="2351"/>
            <w:shd w:val="clear" w:color="auto" w:fill="FFF9C4"/>
          </w:tcPr>
          <w:p>
            <w:pPr>
              <w:spacing w:before="20" w:after="20"/>
              <w:jc w:val="left"/>
            </w:pPr>
            <w:r/>
            <w:r>
              <w:rPr>
                <w:b/>
                <w:sz w:val="20"/>
              </w:rPr>
              <w:t>Imputation médiane post-split dans pipeline</w:t>
            </w:r>
          </w:p>
        </w:tc>
      </w:tr>
    </w:tbl>
    <w:p>
      <w:pPr>
        <w:spacing w:before="40" w:after="160"/>
        <w:jc w:val="center"/>
      </w:pPr>
      <w:r>
        <w:rPr>
          <w:rFonts w:ascii="Calibri" w:hAnsi="Calibri"/>
          <w:b w:val="0"/>
          <w:i/>
          <w:color w:val="505050"/>
          <w:sz w:val="18"/>
        </w:rPr>
        <w:t>Tableau 3 — Inventaire des valeurs manquantes et traitements appliqués</w:t>
      </w:r>
    </w:p>
    <w:p>
      <w:pPr>
        <w:pStyle w:val="Heading2"/>
        <w:jc w:val="left"/>
      </w:pPr>
      <w:r>
        <w:rPr>
          <w:b/>
          <w:color w:val="00467F"/>
          <w:sz w:val="24"/>
        </w:rPr>
        <w:t>3.2 Ingénierie des variables</w:t>
      </w:r>
    </w:p>
    <w:p>
      <w:pPr>
        <w:spacing w:before="0" w:after="120"/>
        <w:jc w:val="both"/>
      </w:pPr>
      <w:r>
        <w:rPr>
          <w:rFonts w:ascii="Calibri" w:hAnsi="Calibri"/>
          <w:b w:val="0"/>
          <w:i w:val="0"/>
          <w:sz w:val="22"/>
        </w:rPr>
        <w:t>Deux transformations clés ont été réalisées :</w:t>
      </w:r>
    </w:p>
    <w:p>
      <w:pPr>
        <w:pStyle w:val="ListBullet"/>
        <w:spacing w:after="60"/>
      </w:pPr>
      <w:r>
        <w:rPr>
          <w:rFonts w:ascii="Calibri" w:hAnsi="Calibri"/>
          <w:b w:val="0"/>
          <w:i w:val="0"/>
          <w:sz w:val="21"/>
        </w:rPr>
        <w:t>Extraction numérique de la vitesse : la variable textuelle '50 km/h' a été parsée pour extraire la valeur numérique (Vitesse_num).</w:t>
      </w:r>
    </w:p>
    <w:p>
      <w:pPr>
        <w:pStyle w:val="ListBullet"/>
        <w:spacing w:after="60"/>
      </w:pPr>
      <w:r>
        <w:rPr>
          <w:rFonts w:ascii="Calibri" w:hAnsi="Calibri"/>
          <w:b w:val="0"/>
          <w:i w:val="0"/>
          <w:sz w:val="21"/>
        </w:rPr>
        <w:t>Extraction du nombre de voies : la variable '2 voie(s)' a été transformée en entier (Voies_num).</w:t>
      </w:r>
    </w:p>
    <w:p>
      <w:pPr>
        <w:pStyle w:val="ListBullet"/>
        <w:spacing w:after="60"/>
      </w:pPr>
      <w:r>
        <w:rPr>
          <w:rFonts w:ascii="Calibri" w:hAnsi="Calibri"/>
          <w:b w:val="0"/>
          <w:i w:val="0"/>
          <w:sz w:val="21"/>
        </w:rPr>
        <w:t>Agrégation géographique : les 107 départements ont été regroupés en 14 régions administratives françaises pour éviter l'explosion dimensionnelle en one-hot encoding (107 → 14 modalités) tout en préservant l'information géographique pertinente.</w:t>
      </w:r>
    </w:p>
    <w:p>
      <w:pPr>
        <w:pStyle w:val="Heading2"/>
        <w:jc w:val="left"/>
      </w:pPr>
      <w:r>
        <w:rPr>
          <w:b/>
          <w:color w:val="00467F"/>
          <w:sz w:val="24"/>
        </w:rPr>
        <w:t>3.3 Stratégie d'encodage</w:t>
      </w:r>
    </w:p>
    <w:p>
      <w:pPr>
        <w:spacing w:before="0" w:after="120"/>
        <w:jc w:val="both"/>
      </w:pPr>
      <w:r>
        <w:rPr>
          <w:rFonts w:ascii="Calibri" w:hAnsi="Calibri"/>
          <w:b w:val="0"/>
          <w:i w:val="0"/>
          <w:sz w:val="22"/>
        </w:rPr>
        <w:t>Deux encodages distincts ont été produits, adaptés à chaque famille d'algorithmes :</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3864"/>
          </w:tcPr>
          <w:p>
            <w:pPr>
              <w:spacing w:before="20" w:after="20"/>
              <w:jc w:val="center"/>
            </w:pPr>
            <w:r/>
            <w:r>
              <w:rPr>
                <w:b/>
                <w:color w:val="FFFFFF"/>
                <w:sz w:val="20"/>
              </w:rPr>
              <w:t>Stratégie</w:t>
            </w:r>
          </w:p>
        </w:tc>
        <w:tc>
          <w:tcPr>
            <w:tcW w:type="dxa" w:w="2351"/>
            <w:shd w:val="clear" w:color="auto" w:fill="1F3864"/>
          </w:tcPr>
          <w:p>
            <w:pPr>
              <w:spacing w:before="20" w:after="20"/>
              <w:jc w:val="center"/>
            </w:pPr>
            <w:r/>
            <w:r>
              <w:rPr>
                <w:b/>
                <w:color w:val="FFFFFF"/>
                <w:sz w:val="20"/>
              </w:rPr>
              <w:t>Dimensions</w:t>
            </w:r>
          </w:p>
        </w:tc>
        <w:tc>
          <w:tcPr>
            <w:tcW w:type="dxa" w:w="2351"/>
            <w:shd w:val="clear" w:color="auto" w:fill="1F3864"/>
          </w:tcPr>
          <w:p>
            <w:pPr>
              <w:spacing w:before="20" w:after="20"/>
              <w:jc w:val="center"/>
            </w:pPr>
            <w:r/>
            <w:r>
              <w:rPr>
                <w:b/>
                <w:color w:val="FFFFFF"/>
                <w:sz w:val="20"/>
              </w:rPr>
              <w:t>Modèles utilisateurs</w:t>
            </w:r>
          </w:p>
        </w:tc>
        <w:tc>
          <w:tcPr>
            <w:tcW w:type="dxa" w:w="2351"/>
            <w:shd w:val="clear" w:color="auto" w:fill="1F3864"/>
          </w:tcPr>
          <w:p>
            <w:pPr>
              <w:spacing w:before="20" w:after="20"/>
              <w:jc w:val="center"/>
            </w:pPr>
            <w:r/>
            <w:r>
              <w:rPr>
                <w:b/>
                <w:color w:val="FFFFFF"/>
                <w:sz w:val="20"/>
              </w:rPr>
              <w:t>Justification</w:t>
            </w:r>
          </w:p>
        </w:tc>
      </w:tr>
      <w:tr>
        <w:tc>
          <w:tcPr>
            <w:tcW w:type="dxa" w:w="2351"/>
            <w:shd w:val="clear" w:color="auto" w:fill="D9E1F2"/>
          </w:tcPr>
          <w:p>
            <w:pPr>
              <w:spacing w:before="20" w:after="20"/>
              <w:jc w:val="left"/>
            </w:pPr>
            <w:r/>
            <w:r>
              <w:rPr>
                <w:b w:val="0"/>
                <w:sz w:val="20"/>
              </w:rPr>
              <w:t>Encodage ordinal (Label Encoding)</w:t>
            </w:r>
          </w:p>
        </w:tc>
        <w:tc>
          <w:tcPr>
            <w:tcW w:type="dxa" w:w="2351"/>
            <w:shd w:val="clear" w:color="auto" w:fill="D9E1F2"/>
          </w:tcPr>
          <w:p>
            <w:pPr>
              <w:spacing w:before="20" w:after="20"/>
              <w:jc w:val="left"/>
            </w:pPr>
            <w:r/>
            <w:r>
              <w:rPr>
                <w:b w:val="0"/>
                <w:sz w:val="20"/>
              </w:rPr>
              <w:t>12 colonnes</w:t>
            </w:r>
          </w:p>
        </w:tc>
        <w:tc>
          <w:tcPr>
            <w:tcW w:type="dxa" w:w="2351"/>
            <w:shd w:val="clear" w:color="auto" w:fill="D9E1F2"/>
          </w:tcPr>
          <w:p>
            <w:pPr>
              <w:spacing w:before="20" w:after="20"/>
              <w:jc w:val="left"/>
            </w:pPr>
            <w:r/>
            <w:r>
              <w:rPr>
                <w:b w:val="0"/>
                <w:sz w:val="20"/>
              </w:rPr>
              <w:t>Random Forest, XGBoost</w:t>
            </w:r>
          </w:p>
        </w:tc>
        <w:tc>
          <w:tcPr>
            <w:tcW w:type="dxa" w:w="2351"/>
            <w:shd w:val="clear" w:color="auto" w:fill="D9E1F2"/>
          </w:tcPr>
          <w:p>
            <w:pPr>
              <w:spacing w:before="20" w:after="20"/>
              <w:jc w:val="left"/>
            </w:pPr>
            <w:r/>
            <w:r>
              <w:rPr>
                <w:b w:val="0"/>
                <w:sz w:val="20"/>
              </w:rPr>
              <w:t>Préserve l'ordre sémantique (ex. Luminosité : jour &lt; crépuscule &lt; nuit sans éclairage). Adapté aux modèles arbres qui gèrent nativement les variables catégorielles ordinales.</w:t>
            </w:r>
          </w:p>
        </w:tc>
      </w:tr>
      <w:tr>
        <w:tc>
          <w:tcPr>
            <w:tcW w:type="dxa" w:w="2351"/>
            <w:shd w:val="clear" w:color="auto" w:fill="FFFFFF"/>
          </w:tcPr>
          <w:p>
            <w:pPr>
              <w:spacing w:before="20" w:after="20"/>
              <w:jc w:val="left"/>
            </w:pPr>
            <w:r/>
            <w:r>
              <w:rPr>
                <w:b w:val="0"/>
                <w:sz w:val="20"/>
              </w:rPr>
              <w:t>One-Hot Encoding (OHE)</w:t>
            </w:r>
          </w:p>
        </w:tc>
        <w:tc>
          <w:tcPr>
            <w:tcW w:type="dxa" w:w="2351"/>
            <w:shd w:val="clear" w:color="auto" w:fill="FFFFFF"/>
          </w:tcPr>
          <w:p>
            <w:pPr>
              <w:spacing w:before="20" w:after="20"/>
              <w:jc w:val="left"/>
            </w:pPr>
            <w:r/>
            <w:r>
              <w:rPr>
                <w:b w:val="0"/>
                <w:sz w:val="20"/>
              </w:rPr>
              <w:t>81 colonnes</w:t>
            </w:r>
          </w:p>
        </w:tc>
        <w:tc>
          <w:tcPr>
            <w:tcW w:type="dxa" w:w="2351"/>
            <w:shd w:val="clear" w:color="auto" w:fill="FFFFFF"/>
          </w:tcPr>
          <w:p>
            <w:pPr>
              <w:spacing w:before="20" w:after="20"/>
              <w:jc w:val="left"/>
            </w:pPr>
            <w:r/>
            <w:r>
              <w:rPr>
                <w:b w:val="0"/>
                <w:sz w:val="20"/>
              </w:rPr>
              <w:t>Régression Logistique</w:t>
            </w:r>
          </w:p>
        </w:tc>
        <w:tc>
          <w:tcPr>
            <w:tcW w:type="dxa" w:w="2351"/>
            <w:shd w:val="clear" w:color="auto" w:fill="FFFFFF"/>
          </w:tcPr>
          <w:p>
            <w:pPr>
              <w:spacing w:before="20" w:after="20"/>
              <w:jc w:val="left"/>
            </w:pPr>
            <w:r/>
            <w:r>
              <w:rPr>
                <w:b w:val="0"/>
                <w:sz w:val="20"/>
              </w:rPr>
              <w:t>Crée une variable binaire par modalité, éliminant tout ordre artificiel. Indispensable pour la régression logistique (hypothèse de linéarité).</w:t>
            </w:r>
          </w:p>
        </w:tc>
      </w:tr>
    </w:tbl>
    <w:p>
      <w:pPr>
        <w:spacing w:before="40" w:after="160"/>
        <w:jc w:val="center"/>
      </w:pPr>
      <w:r>
        <w:rPr>
          <w:rFonts w:ascii="Calibri" w:hAnsi="Calibri"/>
          <w:b w:val="0"/>
          <w:i/>
          <w:color w:val="505050"/>
          <w:sz w:val="18"/>
        </w:rPr>
        <w:t>Tableau 4 — Stratégies d'encodage et algorithmes associés</w:t>
      </w:r>
    </w:p>
    <w:p>
      <w:pPr>
        <w:spacing w:before="0" w:after="120"/>
        <w:jc w:val="both"/>
      </w:pPr>
      <w:r>
        <w:rPr>
          <w:rFonts w:ascii="Calibri" w:hAnsi="Calibri"/>
          <w:b w:val="0"/>
          <w:i w:val="0"/>
          <w:sz w:val="22"/>
        </w:rPr>
        <w:t>Les jeux de données nettoyés sont exportés sous trois fichiers : X_lab_encoded.csv (encodage ordinal, 12 colonnes), X_oh_encoding.csv (OHE, 81 colonnes) et y_gravite.csv (variable cible : 0=Blessé léger, 1=Blessé hospitalisé, 2=Tué). Un fichier JSON label_encoding_mappings.json préserve les correspondances codes/modalités pour l'interprétabilité.</w:t>
      </w:r>
    </w:p>
    <w:p>
      <w:r>
        <w:br w:type="page"/>
      </w:r>
    </w:p>
    <w:p>
      <w:pPr>
        <w:pStyle w:val="Heading1"/>
        <w:jc w:val="left"/>
      </w:pPr>
      <w:r>
        <w:rPr>
          <w:b/>
          <w:color w:val="00467F"/>
          <w:sz w:val="28"/>
        </w:rPr>
        <w:t>4. Construction des Modèles Prédictifs</w:t>
      </w:r>
    </w:p>
    <w:p>
      <w:pPr>
        <w:pStyle w:val="Heading2"/>
        <w:jc w:val="left"/>
      </w:pPr>
      <w:r>
        <w:rPr>
          <w:b/>
          <w:color w:val="00467F"/>
          <w:sz w:val="24"/>
        </w:rPr>
        <w:t>4.1 Protocole de test</w:t>
      </w:r>
    </w:p>
    <w:p>
      <w:pPr>
        <w:spacing w:before="0" w:after="120"/>
        <w:jc w:val="both"/>
      </w:pPr>
      <w:r>
        <w:rPr>
          <w:rFonts w:ascii="Calibri" w:hAnsi="Calibri"/>
          <w:b w:val="0"/>
          <w:i w:val="0"/>
          <w:sz w:val="22"/>
        </w:rPr>
        <w:t>Le protocole de test est conçu pour garantir la reproductibilité et l'équité de comparaison entre les modèles. Il repose sur :</w:t>
      </w:r>
    </w:p>
    <w:p>
      <w:pPr>
        <w:pStyle w:val="ListBullet"/>
        <w:spacing w:after="60"/>
      </w:pPr>
      <w:r>
        <w:rPr>
          <w:rFonts w:ascii="Calibri" w:hAnsi="Calibri"/>
          <w:b w:val="0"/>
          <w:i w:val="0"/>
          <w:sz w:val="21"/>
        </w:rPr>
        <w:t>Séparation train/test unique : 80 % entraînement (43 520 lignes) / 20 % test (10 881 lignes), stratifiée sur la variable cible (random_state=42).</w:t>
      </w:r>
    </w:p>
    <w:p>
      <w:pPr>
        <w:pStyle w:val="ListBullet"/>
        <w:spacing w:after="60"/>
      </w:pPr>
      <w:r>
        <w:rPr>
          <w:rFonts w:ascii="Calibri" w:hAnsi="Calibri"/>
          <w:b w:val="0"/>
          <w:i w:val="0"/>
          <w:sz w:val="21"/>
        </w:rPr>
        <w:t>Le même split est utilisé pour les trois modèles : toute différence de performance ne peut être attribuée qu'au modèle, pas au hasard de l'échantillonnage.</w:t>
      </w:r>
    </w:p>
    <w:p>
      <w:pPr>
        <w:pStyle w:val="ListBullet"/>
        <w:spacing w:after="60"/>
      </w:pPr>
      <w:r>
        <w:rPr>
          <w:rFonts w:ascii="Calibri" w:hAnsi="Calibri"/>
          <w:b w:val="0"/>
          <w:i w:val="0"/>
          <w:sz w:val="21"/>
        </w:rPr>
        <w:t>Validation croisée 5-Fold Stratifiée sur l'ensemble du jeu de données pour évaluer la stabilité et détecter le surapprentissage.</w:t>
      </w:r>
    </w:p>
    <w:p>
      <w:pPr>
        <w:pStyle w:val="ListBullet"/>
        <w:spacing w:after="60"/>
      </w:pPr>
      <w:r>
        <w:rPr>
          <w:rFonts w:ascii="Calibri" w:hAnsi="Calibri"/>
          <w:b w:val="0"/>
          <w:i w:val="0"/>
          <w:sz w:val="21"/>
        </w:rPr>
        <w:t>Baseline (DummyClassifier stratifié) : F1 Macro = 0,332. Tout modèle utile doit significativement dépasser cette baseline.</w:t>
      </w:r>
    </w:p>
    <w:p>
      <w:pPr>
        <w:pStyle w:val="ListBullet"/>
        <w:spacing w:after="60"/>
      </w:pPr>
      <w:r>
        <w:rPr>
          <w:rFonts w:ascii="Calibri" w:hAnsi="Calibri"/>
          <w:b w:val="0"/>
          <w:i w:val="0"/>
          <w:sz w:val="21"/>
        </w:rPr>
        <w:t>Métriques principales : F1 Macro (critère principal — traite équitablement les 3 classes) et F1 de la classe 'Tué' (critère métier prioritaire).</w:t>
      </w:r>
    </w:p>
    <w:p>
      <w:pPr>
        <w:spacing w:before="0" w:after="120"/>
        <w:jc w:val="both"/>
      </w:pPr>
      <w:r>
        <w:rPr>
          <w:rFonts w:ascii="Calibri" w:hAnsi="Calibri"/>
          <w:b w:val="0"/>
          <w:i w:val="0"/>
          <w:sz w:val="22"/>
        </w:rPr>
        <w:t>L'imputation des valeurs manquantes est intégrée dans le pipeline sklearn et calculée exclusivement sur les données d'entraînement, garantissant l'absence de data leakage. La normalisation (StandardScaler) est appliquée uniquement pour la régression logistique.</w:t>
      </w:r>
    </w:p>
    <w:p>
      <w:pPr>
        <w:pStyle w:val="Heading2"/>
        <w:jc w:val="left"/>
      </w:pPr>
      <w:r>
        <w:rPr>
          <w:b/>
          <w:color w:val="00467F"/>
          <w:sz w:val="24"/>
        </w:rPr>
        <w:t>4.2 Régression Logistique (Multinomiale)</w:t>
      </w:r>
    </w:p>
    <w:p>
      <w:pPr>
        <w:spacing w:before="0" w:after="120"/>
        <w:jc w:val="both"/>
      </w:pPr>
      <w:r>
        <w:rPr>
          <w:rFonts w:ascii="Calibri" w:hAnsi="Calibri"/>
          <w:b w:val="0"/>
          <w:i w:val="0"/>
          <w:sz w:val="22"/>
        </w:rPr>
        <w:t>La régression logistique constitue le modèle de référence interprétable. Elle est configurée en mode multinomial avec régularisation L2 (C=1,0) pour prévenir le surapprentissage sur les 81 features OHE.</w:t>
      </w:r>
    </w:p>
    <w:p>
      <w:pPr>
        <w:spacing w:before="0" w:after="120"/>
        <w:jc w:val="both"/>
      </w:pPr>
      <w:r>
        <w:rPr>
          <w:rFonts w:ascii="Calibri" w:hAnsi="Calibri"/>
          <w:b/>
          <w:i w:val="0"/>
          <w:sz w:val="21"/>
        </w:rPr>
        <w:t>Paramètres et justifications :</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4053"/>
          </w:tcPr>
          <w:p>
            <w:pPr>
              <w:spacing w:before="20" w:after="20"/>
              <w:jc w:val="center"/>
            </w:pPr>
            <w:r/>
            <w:r>
              <w:rPr>
                <w:b/>
                <w:color w:val="FFFFFF"/>
                <w:sz w:val="20"/>
              </w:rPr>
              <w:t>Paramètre</w:t>
            </w:r>
          </w:p>
        </w:tc>
        <w:tc>
          <w:tcPr>
            <w:tcW w:type="dxa" w:w="4703"/>
            <w:shd w:val="clear" w:color="auto" w:fill="2E4053"/>
          </w:tcPr>
          <w:p>
            <w:pPr>
              <w:spacing w:before="20" w:after="20"/>
              <w:jc w:val="center"/>
            </w:pPr>
            <w:r/>
            <w:r>
              <w:rPr>
                <w:b/>
                <w:color w:val="FFFFFF"/>
                <w:sz w:val="20"/>
              </w:rPr>
              <w:t>Justification</w:t>
            </w:r>
          </w:p>
        </w:tc>
      </w:tr>
      <w:tr>
        <w:tc>
          <w:tcPr>
            <w:tcW w:type="dxa" w:w="4703"/>
            <w:shd w:val="clear" w:color="auto" w:fill="FFFFFF"/>
          </w:tcPr>
          <w:p>
            <w:pPr>
              <w:spacing w:before="20" w:after="20"/>
              <w:jc w:val="left"/>
            </w:pPr>
            <w:r/>
            <w:r>
              <w:rPr>
                <w:b/>
                <w:sz w:val="19"/>
              </w:rPr>
              <w:t>class_weight='balanced'</w:t>
            </w:r>
          </w:p>
        </w:tc>
        <w:tc>
          <w:tcPr>
            <w:tcW w:type="dxa" w:w="4703"/>
            <w:shd w:val="clear" w:color="auto" w:fill="FFFFFF"/>
          </w:tcPr>
          <w:p>
            <w:pPr>
              <w:spacing w:before="20" w:after="20"/>
              <w:jc w:val="left"/>
            </w:pPr>
            <w:r/>
            <w:r>
              <w:rPr>
                <w:b w:val="0"/>
                <w:sz w:val="19"/>
              </w:rPr>
              <w:t>Pondère chaque classe inversement à sa fréquence → atténue le biais vers la classe majoritaire (×5,6 pour Tué)</w:t>
            </w:r>
          </w:p>
        </w:tc>
      </w:tr>
      <w:tr>
        <w:tc>
          <w:tcPr>
            <w:tcW w:type="dxa" w:w="4703"/>
            <w:shd w:val="clear" w:color="auto" w:fill="D9E1F2"/>
          </w:tcPr>
          <w:p>
            <w:pPr>
              <w:spacing w:before="20" w:after="20"/>
              <w:jc w:val="left"/>
            </w:pPr>
            <w:r/>
            <w:r>
              <w:rPr>
                <w:b/>
                <w:sz w:val="19"/>
              </w:rPr>
              <w:t>solver='lbfgs'</w:t>
            </w:r>
          </w:p>
        </w:tc>
        <w:tc>
          <w:tcPr>
            <w:tcW w:type="dxa" w:w="4703"/>
            <w:shd w:val="clear" w:color="auto" w:fill="D9E1F2"/>
          </w:tcPr>
          <w:p>
            <w:pPr>
              <w:spacing w:before="20" w:after="20"/>
              <w:jc w:val="left"/>
            </w:pPr>
            <w:r/>
            <w:r>
              <w:rPr>
                <w:b w:val="0"/>
                <w:sz w:val="19"/>
              </w:rPr>
              <w:t>Algorithme quasi-Newton stable et efficace pour les problèmes multi-classes de taille moyenne</w:t>
            </w:r>
          </w:p>
        </w:tc>
      </w:tr>
      <w:tr>
        <w:tc>
          <w:tcPr>
            <w:tcW w:type="dxa" w:w="4703"/>
            <w:shd w:val="clear" w:color="auto" w:fill="FFFFFF"/>
          </w:tcPr>
          <w:p>
            <w:pPr>
              <w:spacing w:before="20" w:after="20"/>
              <w:jc w:val="left"/>
            </w:pPr>
            <w:r/>
            <w:r>
              <w:rPr>
                <w:b/>
                <w:sz w:val="19"/>
              </w:rPr>
              <w:t>max_iter=1000</w:t>
            </w:r>
          </w:p>
        </w:tc>
        <w:tc>
          <w:tcPr>
            <w:tcW w:type="dxa" w:w="4703"/>
            <w:shd w:val="clear" w:color="auto" w:fill="FFFFFF"/>
          </w:tcPr>
          <w:p>
            <w:pPr>
              <w:spacing w:before="20" w:after="20"/>
              <w:jc w:val="left"/>
            </w:pPr>
            <w:r/>
            <w:r>
              <w:rPr>
                <w:b w:val="0"/>
                <w:sz w:val="19"/>
              </w:rPr>
              <w:t>Nombre d'itérations suffisant pour la convergence (observée en ~35 itérations en pratique)</w:t>
            </w:r>
          </w:p>
        </w:tc>
      </w:tr>
      <w:tr>
        <w:tc>
          <w:tcPr>
            <w:tcW w:type="dxa" w:w="4703"/>
            <w:shd w:val="clear" w:color="auto" w:fill="D9E1F2"/>
          </w:tcPr>
          <w:p>
            <w:pPr>
              <w:spacing w:before="20" w:after="20"/>
              <w:jc w:val="left"/>
            </w:pPr>
            <w:r/>
            <w:r>
              <w:rPr>
                <w:b/>
                <w:sz w:val="19"/>
              </w:rPr>
              <w:t>C=1.0</w:t>
            </w:r>
          </w:p>
        </w:tc>
        <w:tc>
          <w:tcPr>
            <w:tcW w:type="dxa" w:w="4703"/>
            <w:shd w:val="clear" w:color="auto" w:fill="D9E1F2"/>
          </w:tcPr>
          <w:p>
            <w:pPr>
              <w:spacing w:before="20" w:after="20"/>
              <w:jc w:val="left"/>
            </w:pPr>
            <w:r/>
            <w:r>
              <w:rPr>
                <w:b w:val="0"/>
                <w:sz w:val="19"/>
              </w:rPr>
              <w:t>Régularisation L2 modérée — équilibre biais/variance adapté au nombre de features (81)</w:t>
            </w:r>
          </w:p>
        </w:tc>
      </w:tr>
      <w:tr>
        <w:tc>
          <w:tcPr>
            <w:tcW w:type="dxa" w:w="4703"/>
            <w:shd w:val="clear" w:color="auto" w:fill="FFFFFF"/>
          </w:tcPr>
          <w:p>
            <w:pPr>
              <w:spacing w:before="20" w:after="20"/>
              <w:jc w:val="left"/>
            </w:pPr>
            <w:r/>
            <w:r>
              <w:rPr>
                <w:b/>
                <w:sz w:val="19"/>
              </w:rPr>
              <w:t>multi_class='multinomial'</w:t>
            </w:r>
          </w:p>
        </w:tc>
        <w:tc>
          <w:tcPr>
            <w:tcW w:type="dxa" w:w="4703"/>
            <w:shd w:val="clear" w:color="auto" w:fill="FFFFFF"/>
          </w:tcPr>
          <w:p>
            <w:pPr>
              <w:spacing w:before="20" w:after="20"/>
              <w:jc w:val="left"/>
            </w:pPr>
            <w:r/>
            <w:r>
              <w:rPr>
                <w:b w:val="0"/>
                <w:sz w:val="19"/>
              </w:rPr>
              <w:t>Optimise directement la vraisemblance multi-classes (vs. One-vs-Rest)</w:t>
            </w:r>
          </w:p>
        </w:tc>
      </w:tr>
      <w:tr>
        <w:tc>
          <w:tcPr>
            <w:tcW w:type="dxa" w:w="4703"/>
            <w:shd w:val="clear" w:color="auto" w:fill="D9E1F2"/>
          </w:tcPr>
          <w:p>
            <w:pPr>
              <w:spacing w:before="20" w:after="20"/>
              <w:jc w:val="left"/>
            </w:pPr>
            <w:r/>
            <w:r>
              <w:rPr>
                <w:b/>
                <w:sz w:val="19"/>
              </w:rPr>
              <w:t>StandardScaler</w:t>
            </w:r>
          </w:p>
        </w:tc>
        <w:tc>
          <w:tcPr>
            <w:tcW w:type="dxa" w:w="4703"/>
            <w:shd w:val="clear" w:color="auto" w:fill="D9E1F2"/>
          </w:tcPr>
          <w:p>
            <w:pPr>
              <w:spacing w:before="20" w:after="20"/>
              <w:jc w:val="left"/>
            </w:pPr>
            <w:r/>
            <w:r>
              <w:rPr>
                <w:b w:val="0"/>
                <w:sz w:val="19"/>
              </w:rPr>
              <w:t>Indispensable — les coefficients LR sont sensibles aux échelles relatives des features</w:t>
            </w:r>
          </w:p>
        </w:tc>
      </w:tr>
    </w:tbl>
    <w:p>
      <w:pPr>
        <w:spacing w:before="40" w:after="160"/>
        <w:jc w:val="center"/>
      </w:pPr>
      <w:r>
        <w:rPr>
          <w:rFonts w:ascii="Calibri" w:hAnsi="Calibri"/>
          <w:b w:val="0"/>
          <w:i/>
          <w:color w:val="505050"/>
          <w:sz w:val="18"/>
        </w:rPr>
        <w:t>Tableau 5 — Paramètres de la Régression Logistique et justifications</w:t>
      </w:r>
    </w:p>
    <w:p>
      <w:pPr>
        <w:pStyle w:val="Heading2"/>
        <w:jc w:val="left"/>
      </w:pPr>
      <w:r>
        <w:rPr>
          <w:b/>
          <w:color w:val="00467F"/>
          <w:sz w:val="24"/>
        </w:rPr>
        <w:t>4.3 Random Forest</w:t>
      </w:r>
    </w:p>
    <w:p>
      <w:pPr>
        <w:spacing w:before="0" w:after="120"/>
        <w:jc w:val="both"/>
      </w:pPr>
      <w:r>
        <w:rPr>
          <w:rFonts w:ascii="Calibri" w:hAnsi="Calibri"/>
          <w:b w:val="0"/>
          <w:i w:val="0"/>
          <w:sz w:val="22"/>
        </w:rPr>
        <w:t>Le Random Forest est un algorithme d'ensemble bagging qui entraîne 200 arbres de décision sur des sous-échantillons bootstrap et agrège leurs prédictions par vote majoritaire. Il ne nécessite pas de normalisation et gère nativement les variables ordinales.</w:t>
      </w:r>
    </w:p>
    <w:p>
      <w:pPr>
        <w:spacing w:before="0" w:after="120"/>
        <w:jc w:val="both"/>
      </w:pPr>
      <w:r>
        <w:rPr>
          <w:rFonts w:ascii="Calibri" w:hAnsi="Calibri"/>
          <w:b/>
          <w:i w:val="0"/>
          <w:sz w:val="21"/>
        </w:rPr>
        <w:t>Paramètres et justifications :</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5276"/>
          </w:tcPr>
          <w:p>
            <w:pPr>
              <w:spacing w:before="20" w:after="20"/>
              <w:jc w:val="center"/>
            </w:pPr>
            <w:r/>
            <w:r>
              <w:rPr>
                <w:b/>
                <w:color w:val="FFFFFF"/>
                <w:sz w:val="20"/>
              </w:rPr>
              <w:t>Paramètre</w:t>
            </w:r>
          </w:p>
        </w:tc>
        <w:tc>
          <w:tcPr>
            <w:tcW w:type="dxa" w:w="4703"/>
            <w:shd w:val="clear" w:color="auto" w:fill="1A5276"/>
          </w:tcPr>
          <w:p>
            <w:pPr>
              <w:spacing w:before="20" w:after="20"/>
              <w:jc w:val="center"/>
            </w:pPr>
            <w:r/>
            <w:r>
              <w:rPr>
                <w:b/>
                <w:color w:val="FFFFFF"/>
                <w:sz w:val="20"/>
              </w:rPr>
              <w:t>Justification</w:t>
            </w:r>
          </w:p>
        </w:tc>
      </w:tr>
      <w:tr>
        <w:tc>
          <w:tcPr>
            <w:tcW w:type="dxa" w:w="4703"/>
            <w:shd w:val="clear" w:color="auto" w:fill="FFFFFF"/>
          </w:tcPr>
          <w:p>
            <w:pPr>
              <w:spacing w:before="20" w:after="20"/>
              <w:jc w:val="left"/>
            </w:pPr>
            <w:r/>
            <w:r>
              <w:rPr>
                <w:b/>
                <w:sz w:val="19"/>
              </w:rPr>
              <w:t>n_estimators=200</w:t>
            </w:r>
          </w:p>
        </w:tc>
        <w:tc>
          <w:tcPr>
            <w:tcW w:type="dxa" w:w="4703"/>
            <w:shd w:val="clear" w:color="auto" w:fill="FFFFFF"/>
          </w:tcPr>
          <w:p>
            <w:pPr>
              <w:spacing w:before="20" w:after="20"/>
              <w:jc w:val="left"/>
            </w:pPr>
            <w:r/>
            <w:r>
              <w:rPr>
                <w:b w:val="0"/>
                <w:sz w:val="19"/>
              </w:rPr>
              <w:t>200 arbres offrent un bon compromis variance/temps — au-delà, les gains marginaux sont négligeables</w:t>
            </w:r>
          </w:p>
        </w:tc>
      </w:tr>
      <w:tr>
        <w:tc>
          <w:tcPr>
            <w:tcW w:type="dxa" w:w="4703"/>
            <w:shd w:val="clear" w:color="auto" w:fill="D5F5E3"/>
          </w:tcPr>
          <w:p>
            <w:pPr>
              <w:spacing w:before="20" w:after="20"/>
              <w:jc w:val="left"/>
            </w:pPr>
            <w:r/>
            <w:r>
              <w:rPr>
                <w:b/>
                <w:sz w:val="19"/>
              </w:rPr>
              <w:t>class_weight='balanced'</w:t>
            </w:r>
          </w:p>
        </w:tc>
        <w:tc>
          <w:tcPr>
            <w:tcW w:type="dxa" w:w="4703"/>
            <w:shd w:val="clear" w:color="auto" w:fill="D5F5E3"/>
          </w:tcPr>
          <w:p>
            <w:pPr>
              <w:spacing w:before="20" w:after="20"/>
              <w:jc w:val="left"/>
            </w:pPr>
            <w:r/>
            <w:r>
              <w:rPr>
                <w:b w:val="0"/>
                <w:sz w:val="19"/>
              </w:rPr>
              <w:t>Pondère les échantillons à l'entraînement proportionnellement à 1/fréquence_classe</w:t>
            </w:r>
          </w:p>
        </w:tc>
      </w:tr>
      <w:tr>
        <w:tc>
          <w:tcPr>
            <w:tcW w:type="dxa" w:w="4703"/>
            <w:shd w:val="clear" w:color="auto" w:fill="FFFFFF"/>
          </w:tcPr>
          <w:p>
            <w:pPr>
              <w:spacing w:before="20" w:after="20"/>
              <w:jc w:val="left"/>
            </w:pPr>
            <w:r/>
            <w:r>
              <w:rPr>
                <w:b/>
                <w:sz w:val="19"/>
              </w:rPr>
              <w:t>max_features='sqrt'</w:t>
            </w:r>
          </w:p>
        </w:tc>
        <w:tc>
          <w:tcPr>
            <w:tcW w:type="dxa" w:w="4703"/>
            <w:shd w:val="clear" w:color="auto" w:fill="FFFFFF"/>
          </w:tcPr>
          <w:p>
            <w:pPr>
              <w:spacing w:before="20" w:after="20"/>
              <w:jc w:val="left"/>
            </w:pPr>
            <w:r/>
            <w:r>
              <w:rPr>
                <w:b w:val="0"/>
                <w:sz w:val="19"/>
              </w:rPr>
              <w:t>Sélection aléatoire de sqrt(12) ≈ 3 features par nœud — décolle les arbres et réduit la variance</w:t>
            </w:r>
          </w:p>
        </w:tc>
      </w:tr>
      <w:tr>
        <w:tc>
          <w:tcPr>
            <w:tcW w:type="dxa" w:w="4703"/>
            <w:shd w:val="clear" w:color="auto" w:fill="D5F5E3"/>
          </w:tcPr>
          <w:p>
            <w:pPr>
              <w:spacing w:before="20" w:after="20"/>
              <w:jc w:val="left"/>
            </w:pPr>
            <w:r/>
            <w:r>
              <w:rPr>
                <w:b/>
                <w:sz w:val="19"/>
              </w:rPr>
              <w:t>random_state=42</w:t>
            </w:r>
          </w:p>
        </w:tc>
        <w:tc>
          <w:tcPr>
            <w:tcW w:type="dxa" w:w="4703"/>
            <w:shd w:val="clear" w:color="auto" w:fill="D5F5E3"/>
          </w:tcPr>
          <w:p>
            <w:pPr>
              <w:spacing w:before="20" w:after="20"/>
              <w:jc w:val="left"/>
            </w:pPr>
            <w:r/>
            <w:r>
              <w:rPr>
                <w:b w:val="0"/>
                <w:sz w:val="19"/>
              </w:rPr>
              <w:t>Reproductibilité garantie</w:t>
            </w:r>
          </w:p>
        </w:tc>
      </w:tr>
      <w:tr>
        <w:tc>
          <w:tcPr>
            <w:tcW w:type="dxa" w:w="4703"/>
            <w:shd w:val="clear" w:color="auto" w:fill="FFFFFF"/>
          </w:tcPr>
          <w:p>
            <w:pPr>
              <w:spacing w:before="20" w:after="20"/>
              <w:jc w:val="left"/>
            </w:pPr>
            <w:r/>
            <w:r>
              <w:rPr>
                <w:b/>
                <w:sz w:val="19"/>
              </w:rPr>
              <w:t>n_jobs=-1</w:t>
            </w:r>
          </w:p>
        </w:tc>
        <w:tc>
          <w:tcPr>
            <w:tcW w:type="dxa" w:w="4703"/>
            <w:shd w:val="clear" w:color="auto" w:fill="FFFFFF"/>
          </w:tcPr>
          <w:p>
            <w:pPr>
              <w:spacing w:before="20" w:after="20"/>
              <w:jc w:val="left"/>
            </w:pPr>
            <w:r/>
            <w:r>
              <w:rPr>
                <w:b w:val="0"/>
                <w:sz w:val="19"/>
              </w:rPr>
              <w:t>Parallélisation sur tous les cœurs disponibles — réduction du temps d'entraînement</w:t>
            </w:r>
          </w:p>
        </w:tc>
      </w:tr>
    </w:tbl>
    <w:p>
      <w:pPr>
        <w:spacing w:before="40" w:after="160"/>
        <w:jc w:val="center"/>
      </w:pPr>
      <w:r>
        <w:rPr>
          <w:rFonts w:ascii="Calibri" w:hAnsi="Calibri"/>
          <w:b w:val="0"/>
          <w:i/>
          <w:color w:val="505050"/>
          <w:sz w:val="18"/>
        </w:rPr>
        <w:t>Tableau 6 — Paramètres du Random Forest et justifications</w:t>
      </w:r>
    </w:p>
    <w:p>
      <w:pPr>
        <w:pStyle w:val="Heading2"/>
        <w:jc w:val="left"/>
      </w:pPr>
      <w:r>
        <w:rPr>
          <w:b/>
          <w:color w:val="00467F"/>
          <w:sz w:val="24"/>
        </w:rPr>
        <w:t>4.4 XGBoost (Gradient Boosting optimisé)</w:t>
      </w:r>
    </w:p>
    <w:p>
      <w:pPr>
        <w:spacing w:before="0" w:after="120"/>
        <w:jc w:val="both"/>
      </w:pPr>
      <w:r>
        <w:rPr>
          <w:rFonts w:ascii="Calibri" w:hAnsi="Calibri"/>
          <w:b w:val="0"/>
          <w:i w:val="0"/>
          <w:sz w:val="22"/>
        </w:rPr>
        <w:t>XGBoost (eXtreme Gradient Boosting) est un algorithme de boosting séquentiel qui construit des arbres de manière additive en corrigeant les erreurs du modèle précédent. La mise en œuvre inclut une pipeline d'optimisation avancée en cinq étapes :</w:t>
      </w:r>
    </w:p>
    <w:p>
      <w:pPr>
        <w:spacing w:before="0" w:after="120"/>
        <w:jc w:val="both"/>
      </w:pPr>
      <w:r>
        <w:rPr>
          <w:rFonts w:ascii="Calibri" w:hAnsi="Calibri"/>
          <w:b/>
          <w:i w:val="0"/>
          <w:sz w:val="21"/>
        </w:rPr>
        <w:t>Étape 1 — Baseline XGBoost</w:t>
      </w:r>
    </w:p>
    <w:p>
      <w:pPr>
        <w:spacing w:before="0" w:after="120"/>
        <w:jc w:val="both"/>
      </w:pPr>
      <w:r>
        <w:rPr>
          <w:rFonts w:ascii="Calibri" w:hAnsi="Calibri"/>
          <w:b w:val="0"/>
          <w:i w:val="0"/>
          <w:sz w:val="22"/>
        </w:rPr>
        <w:t>Entraînement initial avec hyperparamètres par défaut et sample_weight='balanced' pour le rééquilibrage multi-classe. F1 Macro baseline = 0,469 vs 0,332 pour le dummy.</w:t>
      </w:r>
    </w:p>
    <w:p>
      <w:pPr>
        <w:spacing w:before="0" w:after="120"/>
        <w:jc w:val="both"/>
      </w:pPr>
      <w:r>
        <w:rPr>
          <w:rFonts w:ascii="Calibri" w:hAnsi="Calibri"/>
          <w:b/>
          <w:i w:val="0"/>
          <w:sz w:val="21"/>
        </w:rPr>
        <w:t>Étape 2 — Recherche d'hyperparamètres</w:t>
      </w:r>
    </w:p>
    <w:p>
      <w:pPr>
        <w:spacing w:before="0" w:after="120"/>
        <w:jc w:val="both"/>
      </w:pPr>
      <w:r>
        <w:rPr>
          <w:rFonts w:ascii="Calibri" w:hAnsi="Calibri"/>
          <w:b w:val="0"/>
          <w:i w:val="0"/>
          <w:sz w:val="22"/>
        </w:rPr>
        <w:t>RandomizedSearchCV (30 itérations, 5-Fold Stratifiée) sur la grille : n_estimators∈{100,200,300,500}, max_depth∈{3..8}, learning_rate∈{0.01..0.3}, subsample∈{0.6..1.0}, colsample_bytree∈{0.6..1.0}. Meilleurs paramètres : n_estimators=100, max_depth=5, lr=0.1, subsample=0.8, colsample=0.8.</w:t>
      </w:r>
    </w:p>
    <w:p>
      <w:pPr>
        <w:spacing w:before="0" w:after="120"/>
        <w:jc w:val="both"/>
      </w:pPr>
      <w:r>
        <w:rPr>
          <w:rFonts w:ascii="Calibri" w:hAnsi="Calibri"/>
          <w:b/>
          <w:i w:val="0"/>
          <w:sz w:val="21"/>
        </w:rPr>
        <w:t>Étape 3 — Early Stopping</w:t>
      </w:r>
    </w:p>
    <w:p>
      <w:pPr>
        <w:spacing w:before="0" w:after="120"/>
        <w:jc w:val="both"/>
      </w:pPr>
      <w:r>
        <w:rPr>
          <w:rFonts w:ascii="Calibri" w:hAnsi="Calibri"/>
          <w:b w:val="0"/>
          <w:i w:val="0"/>
          <w:sz w:val="22"/>
        </w:rPr>
        <w:t>Ré-entraînement avec n_estimators=1000 (plafond élevé) et arrêt si aucune amélioration du mlogloss sur 20 itérations consécutives. Nombre optimal d'arbres : 349 (vs. 100 du GridSearch — démontre la valeur de l'early stopping).</w:t>
      </w:r>
    </w:p>
    <w:p>
      <w:pPr>
        <w:spacing w:before="0" w:after="120"/>
        <w:jc w:val="both"/>
      </w:pPr>
      <w:r>
        <w:rPr>
          <w:rFonts w:ascii="Calibri" w:hAnsi="Calibri"/>
          <w:b/>
          <w:i w:val="0"/>
          <w:sz w:val="21"/>
        </w:rPr>
        <w:t>Étape 4 — Calibration des probabilités</w:t>
      </w:r>
    </w:p>
    <w:p>
      <w:pPr>
        <w:spacing w:before="0" w:after="120"/>
        <w:jc w:val="both"/>
      </w:pPr>
      <w:r>
        <w:rPr>
          <w:rFonts w:ascii="Calibri" w:hAnsi="Calibri"/>
          <w:b w:val="0"/>
          <w:i w:val="0"/>
          <w:sz w:val="22"/>
        </w:rPr>
        <w:t>Les probabilités brutes avec class_weight sont biaisées (P(Tué)≈21% vs réalité 5.9%). Platt Scaling (CalibratedClassifierCV) recalibre les probabilités vers les fréquences réelles.</w:t>
      </w:r>
    </w:p>
    <w:p>
      <w:pPr>
        <w:spacing w:before="0" w:after="120"/>
        <w:jc w:val="both"/>
      </w:pPr>
      <w:r>
        <w:rPr>
          <w:rFonts w:ascii="Calibri" w:hAnsi="Calibri"/>
          <w:b/>
          <w:i w:val="0"/>
          <w:sz w:val="21"/>
        </w:rPr>
        <w:t>Étape 5 — Optimisation du seuil de décision</w:t>
      </w:r>
    </w:p>
    <w:p>
      <w:pPr>
        <w:spacing w:before="0" w:after="120"/>
        <w:jc w:val="both"/>
      </w:pPr>
      <w:r>
        <w:rPr>
          <w:rFonts w:ascii="Calibri" w:hAnsi="Calibri"/>
          <w:b w:val="0"/>
          <w:i w:val="0"/>
          <w:sz w:val="22"/>
        </w:rPr>
        <w:t>Le seuil argmax par défaut (1/3 pour 3 classes) est sous-optimal. Optimisation du seuil de la classe 'Tué' pour maximiser son F1-score : seuil optimal = 0,15 (vs. 0,33 par défaut).</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922B21"/>
          </w:tcPr>
          <w:p>
            <w:pPr>
              <w:spacing w:before="20" w:after="20"/>
              <w:jc w:val="center"/>
            </w:pPr>
            <w:r/>
            <w:r>
              <w:rPr>
                <w:b/>
                <w:color w:val="FFFFFF"/>
                <w:sz w:val="20"/>
              </w:rPr>
              <w:t>Paramètre</w:t>
            </w:r>
          </w:p>
        </w:tc>
        <w:tc>
          <w:tcPr>
            <w:tcW w:type="dxa" w:w="4703"/>
            <w:shd w:val="clear" w:color="auto" w:fill="922B21"/>
          </w:tcPr>
          <w:p>
            <w:pPr>
              <w:spacing w:before="20" w:after="20"/>
              <w:jc w:val="center"/>
            </w:pPr>
            <w:r/>
            <w:r>
              <w:rPr>
                <w:b/>
                <w:color w:val="FFFFFF"/>
                <w:sz w:val="20"/>
              </w:rPr>
              <w:t>Justification</w:t>
            </w:r>
          </w:p>
        </w:tc>
      </w:tr>
      <w:tr>
        <w:tc>
          <w:tcPr>
            <w:tcW w:type="dxa" w:w="4703"/>
            <w:shd w:val="clear" w:color="auto" w:fill="FFFFFF"/>
          </w:tcPr>
          <w:p>
            <w:pPr>
              <w:spacing w:before="20" w:after="20"/>
              <w:jc w:val="left"/>
            </w:pPr>
            <w:r/>
            <w:r>
              <w:rPr>
                <w:b/>
                <w:sz w:val="19"/>
              </w:rPr>
              <w:t>n_estimators=349</w:t>
            </w:r>
          </w:p>
        </w:tc>
        <w:tc>
          <w:tcPr>
            <w:tcW w:type="dxa" w:w="4703"/>
            <w:shd w:val="clear" w:color="auto" w:fill="FFFFFF"/>
          </w:tcPr>
          <w:p>
            <w:pPr>
              <w:spacing w:before="20" w:after="20"/>
              <w:jc w:val="left"/>
            </w:pPr>
            <w:r/>
            <w:r>
              <w:rPr>
                <w:b w:val="0"/>
                <w:sz w:val="19"/>
              </w:rPr>
              <w:t>Nombre optimal d'arbres déterminé par early stopping</w:t>
            </w:r>
          </w:p>
        </w:tc>
      </w:tr>
      <w:tr>
        <w:tc>
          <w:tcPr>
            <w:tcW w:type="dxa" w:w="4703"/>
            <w:shd w:val="clear" w:color="auto" w:fill="FDECEA"/>
          </w:tcPr>
          <w:p>
            <w:pPr>
              <w:spacing w:before="20" w:after="20"/>
              <w:jc w:val="left"/>
            </w:pPr>
            <w:r/>
            <w:r>
              <w:rPr>
                <w:b/>
                <w:sz w:val="19"/>
              </w:rPr>
              <w:t>max_depth=5</w:t>
            </w:r>
          </w:p>
        </w:tc>
        <w:tc>
          <w:tcPr>
            <w:tcW w:type="dxa" w:w="4703"/>
            <w:shd w:val="clear" w:color="auto" w:fill="FDECEA"/>
          </w:tcPr>
          <w:p>
            <w:pPr>
              <w:spacing w:before="20" w:after="20"/>
              <w:jc w:val="left"/>
            </w:pPr>
            <w:r/>
            <w:r>
              <w:rPr>
                <w:b w:val="0"/>
                <w:sz w:val="19"/>
              </w:rPr>
              <w:t>Profondeur maximale — compromis expressivité/surapprentissage</w:t>
            </w:r>
          </w:p>
        </w:tc>
      </w:tr>
      <w:tr>
        <w:tc>
          <w:tcPr>
            <w:tcW w:type="dxa" w:w="4703"/>
            <w:shd w:val="clear" w:color="auto" w:fill="FFFFFF"/>
          </w:tcPr>
          <w:p>
            <w:pPr>
              <w:spacing w:before="20" w:after="20"/>
              <w:jc w:val="left"/>
            </w:pPr>
            <w:r/>
            <w:r>
              <w:rPr>
                <w:b/>
                <w:sz w:val="19"/>
              </w:rPr>
              <w:t>learning_rate=0.1</w:t>
            </w:r>
          </w:p>
        </w:tc>
        <w:tc>
          <w:tcPr>
            <w:tcW w:type="dxa" w:w="4703"/>
            <w:shd w:val="clear" w:color="auto" w:fill="FFFFFF"/>
          </w:tcPr>
          <w:p>
            <w:pPr>
              <w:spacing w:before="20" w:after="20"/>
              <w:jc w:val="left"/>
            </w:pPr>
            <w:r/>
            <w:r>
              <w:rPr>
                <w:b w:val="0"/>
                <w:sz w:val="19"/>
              </w:rPr>
              <w:t>Taux d'apprentissage modéré — convergence stable</w:t>
            </w:r>
          </w:p>
        </w:tc>
      </w:tr>
      <w:tr>
        <w:tc>
          <w:tcPr>
            <w:tcW w:type="dxa" w:w="4703"/>
            <w:shd w:val="clear" w:color="auto" w:fill="FDECEA"/>
          </w:tcPr>
          <w:p>
            <w:pPr>
              <w:spacing w:before="20" w:after="20"/>
              <w:jc w:val="left"/>
            </w:pPr>
            <w:r/>
            <w:r>
              <w:rPr>
                <w:b/>
                <w:sz w:val="19"/>
              </w:rPr>
              <w:t>subsample=0.8</w:t>
            </w:r>
          </w:p>
        </w:tc>
        <w:tc>
          <w:tcPr>
            <w:tcW w:type="dxa" w:w="4703"/>
            <w:shd w:val="clear" w:color="auto" w:fill="FDECEA"/>
          </w:tcPr>
          <w:p>
            <w:pPr>
              <w:spacing w:before="20" w:after="20"/>
              <w:jc w:val="left"/>
            </w:pPr>
            <w:r/>
            <w:r>
              <w:rPr>
                <w:b w:val="0"/>
                <w:sz w:val="19"/>
              </w:rPr>
              <w:t>80% des données par arbre — réduction de variance</w:t>
            </w:r>
          </w:p>
        </w:tc>
      </w:tr>
      <w:tr>
        <w:tc>
          <w:tcPr>
            <w:tcW w:type="dxa" w:w="4703"/>
            <w:shd w:val="clear" w:color="auto" w:fill="FFFFFF"/>
          </w:tcPr>
          <w:p>
            <w:pPr>
              <w:spacing w:before="20" w:after="20"/>
              <w:jc w:val="left"/>
            </w:pPr>
            <w:r/>
            <w:r>
              <w:rPr>
                <w:b/>
                <w:sz w:val="19"/>
              </w:rPr>
              <w:t>colsample_bytree=0.8</w:t>
            </w:r>
          </w:p>
        </w:tc>
        <w:tc>
          <w:tcPr>
            <w:tcW w:type="dxa" w:w="4703"/>
            <w:shd w:val="clear" w:color="auto" w:fill="FFFFFF"/>
          </w:tcPr>
          <w:p>
            <w:pPr>
              <w:spacing w:before="20" w:after="20"/>
              <w:jc w:val="left"/>
            </w:pPr>
            <w:r/>
            <w:r>
              <w:rPr>
                <w:b w:val="0"/>
                <w:sz w:val="19"/>
              </w:rPr>
              <w:t>80% des features par arbre — décorrélation des arbres</w:t>
            </w:r>
          </w:p>
        </w:tc>
      </w:tr>
      <w:tr>
        <w:tc>
          <w:tcPr>
            <w:tcW w:type="dxa" w:w="4703"/>
            <w:shd w:val="clear" w:color="auto" w:fill="FDECEA"/>
          </w:tcPr>
          <w:p>
            <w:pPr>
              <w:spacing w:before="20" w:after="20"/>
              <w:jc w:val="left"/>
            </w:pPr>
            <w:r/>
            <w:r>
              <w:rPr>
                <w:b/>
                <w:sz w:val="19"/>
              </w:rPr>
              <w:t>sample_weight='balanced'</w:t>
            </w:r>
          </w:p>
        </w:tc>
        <w:tc>
          <w:tcPr>
            <w:tcW w:type="dxa" w:w="4703"/>
            <w:shd w:val="clear" w:color="auto" w:fill="FDECEA"/>
          </w:tcPr>
          <w:p>
            <w:pPr>
              <w:spacing w:before="20" w:after="20"/>
              <w:jc w:val="left"/>
            </w:pPr>
            <w:r/>
            <w:r>
              <w:rPr>
                <w:b w:val="0"/>
                <w:sz w:val="19"/>
              </w:rPr>
              <w:t>Rééquilibrage multi-classe via pondération des exemples</w:t>
            </w:r>
          </w:p>
        </w:tc>
      </w:tr>
    </w:tbl>
    <w:p>
      <w:pPr>
        <w:spacing w:before="40" w:after="160"/>
        <w:jc w:val="center"/>
      </w:pPr>
      <w:r>
        <w:rPr>
          <w:rFonts w:ascii="Calibri" w:hAnsi="Calibri"/>
          <w:b w:val="0"/>
          <w:i/>
          <w:color w:val="505050"/>
          <w:sz w:val="18"/>
        </w:rPr>
        <w:t>Tableau 7 — Paramètres optimaux de XGBoost et justifications</w:t>
      </w:r>
    </w:p>
    <w:p>
      <w:r>
        <w:br w:type="page"/>
      </w:r>
    </w:p>
    <w:p>
      <w:pPr>
        <w:pStyle w:val="Heading1"/>
        <w:jc w:val="left"/>
      </w:pPr>
      <w:r>
        <w:rPr>
          <w:b/>
          <w:color w:val="00467F"/>
          <w:sz w:val="28"/>
        </w:rPr>
        <w:t>5. Résultats et Comparaison des Modèles</w:t>
      </w:r>
    </w:p>
    <w:p>
      <w:pPr>
        <w:pStyle w:val="Heading2"/>
        <w:jc w:val="left"/>
      </w:pPr>
      <w:r>
        <w:rPr>
          <w:b/>
          <w:color w:val="00467F"/>
          <w:sz w:val="24"/>
        </w:rPr>
        <w:t>5.1 Métriques globales</w:t>
      </w:r>
    </w:p>
    <w:p>
      <w:pPr>
        <w:spacing w:before="0" w:after="120"/>
        <w:jc w:val="both"/>
      </w:pPr>
      <w:r>
        <w:rPr>
          <w:rFonts w:ascii="Calibri" w:hAnsi="Calibri"/>
          <w:b w:val="0"/>
          <w:i w:val="0"/>
          <w:sz w:val="22"/>
        </w:rPr>
        <w:t>Le tableau ci-dessous présente les métriques de performance obtenues sur le jeu de test (10 881 lignes, non vues pendant l'entraînement). Les résultats du notebook comparaison_modeles.ipynb sont issus du même split train/test (stratifié, random_state=42) pour tous les modèles.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1F3864"/>
          </w:tcPr>
          <w:p>
            <w:pPr>
              <w:spacing w:before="20" w:after="20"/>
              <w:jc w:val="center"/>
            </w:pPr>
            <w:r/>
            <w:r>
              <w:rPr>
                <w:b/>
                <w:color w:val="FFFFFF"/>
                <w:sz w:val="20"/>
              </w:rPr>
              <w:t>Modèle</w:t>
            </w:r>
          </w:p>
        </w:tc>
        <w:tc>
          <w:tcPr>
            <w:tcW w:type="dxa" w:w="1568"/>
            <w:shd w:val="clear" w:color="auto" w:fill="1F3864"/>
          </w:tcPr>
          <w:p>
            <w:pPr>
              <w:spacing w:before="20" w:after="20"/>
              <w:jc w:val="center"/>
            </w:pPr>
            <w:r/>
            <w:r>
              <w:rPr>
                <w:b/>
                <w:color w:val="FFFFFF"/>
                <w:sz w:val="20"/>
              </w:rPr>
              <w:t>Accuracy</w:t>
            </w:r>
          </w:p>
        </w:tc>
        <w:tc>
          <w:tcPr>
            <w:tcW w:type="dxa" w:w="1568"/>
            <w:shd w:val="clear" w:color="auto" w:fill="1F3864"/>
          </w:tcPr>
          <w:p>
            <w:pPr>
              <w:spacing w:before="20" w:after="20"/>
              <w:jc w:val="center"/>
            </w:pPr>
            <w:r/>
            <w:r>
              <w:rPr>
                <w:b/>
                <w:color w:val="FFFFFF"/>
                <w:sz w:val="20"/>
              </w:rPr>
              <w:t>F1 Macro</w:t>
            </w:r>
          </w:p>
        </w:tc>
        <w:tc>
          <w:tcPr>
            <w:tcW w:type="dxa" w:w="1568"/>
            <w:shd w:val="clear" w:color="auto" w:fill="1F3864"/>
          </w:tcPr>
          <w:p>
            <w:pPr>
              <w:spacing w:before="20" w:after="20"/>
              <w:jc w:val="center"/>
            </w:pPr>
            <w:r/>
            <w:r>
              <w:rPr>
                <w:b/>
                <w:color w:val="FFFFFF"/>
                <w:sz w:val="20"/>
              </w:rPr>
              <w:t>F1 Tué</w:t>
            </w:r>
          </w:p>
        </w:tc>
        <w:tc>
          <w:tcPr>
            <w:tcW w:type="dxa" w:w="1568"/>
            <w:shd w:val="clear" w:color="auto" w:fill="1F3864"/>
          </w:tcPr>
          <w:p>
            <w:pPr>
              <w:spacing w:before="20" w:after="20"/>
              <w:jc w:val="center"/>
            </w:pPr>
            <w:r/>
            <w:r>
              <w:rPr>
                <w:b/>
                <w:color w:val="FFFFFF"/>
                <w:sz w:val="20"/>
              </w:rPr>
              <w:t>AUC-ROC Macro</w:t>
            </w:r>
          </w:p>
        </w:tc>
        <w:tc>
          <w:tcPr>
            <w:tcW w:type="dxa" w:w="1568"/>
            <w:shd w:val="clear" w:color="auto" w:fill="1F3864"/>
          </w:tcPr>
          <w:p>
            <w:pPr>
              <w:spacing w:before="20" w:after="20"/>
              <w:jc w:val="center"/>
            </w:pPr>
            <w:r/>
            <w:r>
              <w:rPr>
                <w:b/>
                <w:color w:val="FFFFFF"/>
                <w:sz w:val="20"/>
              </w:rPr>
              <w:t>Temps entr.</w:t>
            </w:r>
          </w:p>
        </w:tc>
      </w:tr>
      <w:tr>
        <w:tc>
          <w:tcPr>
            <w:tcW w:type="dxa" w:w="1568"/>
            <w:shd w:val="clear" w:color="auto" w:fill="F2F3F4"/>
            <w:shd w:val="clear" w:color="auto" w:fill="F2F3F4"/>
          </w:tcPr>
          <w:p>
            <w:pPr>
              <w:spacing w:before="20" w:after="20"/>
              <w:jc w:val="left"/>
            </w:pPr>
            <w:r/>
            <w:r>
              <w:rPr>
                <w:b w:val="0"/>
                <w:sz w:val="20"/>
              </w:rPr>
              <w:t>Baseline (Dummy stratifié)</w:t>
            </w:r>
          </w:p>
        </w:tc>
        <w:tc>
          <w:tcPr>
            <w:tcW w:type="dxa" w:w="1568"/>
            <w:shd w:val="clear" w:color="auto" w:fill="F2F3F4"/>
          </w:tcPr>
          <w:p>
            <w:pPr>
              <w:spacing w:before="20" w:after="20"/>
              <w:jc w:val="center"/>
            </w:pPr>
            <w:r/>
            <w:r>
              <w:rPr>
                <w:b w:val="0"/>
                <w:sz w:val="20"/>
              </w:rPr>
              <w:t>50,2 %</w:t>
            </w:r>
          </w:p>
        </w:tc>
        <w:tc>
          <w:tcPr>
            <w:tcW w:type="dxa" w:w="1568"/>
            <w:shd w:val="clear" w:color="auto" w:fill="F2F3F4"/>
          </w:tcPr>
          <w:p>
            <w:pPr>
              <w:spacing w:before="20" w:after="20"/>
              <w:jc w:val="center"/>
            </w:pPr>
            <w:r/>
            <w:r>
              <w:rPr>
                <w:b w:val="0"/>
                <w:sz w:val="20"/>
              </w:rPr>
              <w:t>0,332</w:t>
            </w:r>
          </w:p>
        </w:tc>
        <w:tc>
          <w:tcPr>
            <w:tcW w:type="dxa" w:w="1568"/>
            <w:shd w:val="clear" w:color="auto" w:fill="F2F3F4"/>
          </w:tcPr>
          <w:p>
            <w:pPr>
              <w:spacing w:before="20" w:after="20"/>
              <w:jc w:val="center"/>
            </w:pPr>
            <w:r/>
            <w:r>
              <w:rPr>
                <w:b w:val="0"/>
                <w:sz w:val="20"/>
              </w:rPr>
              <w:t>0,056</w:t>
            </w:r>
          </w:p>
        </w:tc>
        <w:tc>
          <w:tcPr>
            <w:tcW w:type="dxa" w:w="1568"/>
            <w:shd w:val="clear" w:color="auto" w:fill="F2F3F4"/>
          </w:tcPr>
          <w:p>
            <w:pPr>
              <w:spacing w:before="20" w:after="20"/>
              <w:jc w:val="center"/>
            </w:pPr>
            <w:r/>
            <w:r>
              <w:rPr>
                <w:b w:val="0"/>
                <w:sz w:val="20"/>
              </w:rPr>
              <w:t>~0,50</w:t>
            </w:r>
          </w:p>
        </w:tc>
        <w:tc>
          <w:tcPr>
            <w:tcW w:type="dxa" w:w="1568"/>
            <w:shd w:val="clear" w:color="auto" w:fill="F2F3F4"/>
          </w:tcPr>
          <w:p>
            <w:pPr>
              <w:spacing w:before="20" w:after="20"/>
              <w:jc w:val="center"/>
            </w:pPr>
            <w:r/>
            <w:r>
              <w:rPr>
                <w:b w:val="0"/>
                <w:sz w:val="20"/>
              </w:rPr>
              <w:t>&lt; 0,1s</w:t>
            </w:r>
          </w:p>
        </w:tc>
      </w:tr>
      <w:tr>
        <w:tc>
          <w:tcPr>
            <w:tcW w:type="dxa" w:w="1568"/>
            <w:shd w:val="clear" w:color="auto" w:fill="EBF5FB"/>
            <w:shd w:val="clear" w:color="auto" w:fill="EBF5FB"/>
          </w:tcPr>
          <w:p>
            <w:pPr>
              <w:spacing w:before="20" w:after="20"/>
              <w:jc w:val="left"/>
            </w:pPr>
            <w:r/>
            <w:r>
              <w:rPr>
                <w:b w:val="0"/>
                <w:sz w:val="20"/>
              </w:rPr>
              <w:t>Régression Logistique</w:t>
            </w:r>
          </w:p>
        </w:tc>
        <w:tc>
          <w:tcPr>
            <w:tcW w:type="dxa" w:w="1568"/>
            <w:shd w:val="clear" w:color="auto" w:fill="EBF5FB"/>
          </w:tcPr>
          <w:p>
            <w:pPr>
              <w:spacing w:before="20" w:after="20"/>
              <w:jc w:val="center"/>
            </w:pPr>
            <w:r/>
            <w:r>
              <w:rPr>
                <w:b w:val="0"/>
                <w:sz w:val="20"/>
              </w:rPr>
              <w:t>57,4 %</w:t>
            </w:r>
          </w:p>
        </w:tc>
        <w:tc>
          <w:tcPr>
            <w:tcW w:type="dxa" w:w="1568"/>
            <w:shd w:val="clear" w:color="auto" w:fill="EBF5FB"/>
          </w:tcPr>
          <w:p>
            <w:pPr>
              <w:spacing w:before="20" w:after="20"/>
              <w:jc w:val="center"/>
            </w:pPr>
            <w:r/>
            <w:r>
              <w:rPr>
                <w:b w:val="0"/>
                <w:sz w:val="20"/>
              </w:rPr>
              <w:t>0,455</w:t>
            </w:r>
          </w:p>
        </w:tc>
        <w:tc>
          <w:tcPr>
            <w:tcW w:type="dxa" w:w="1568"/>
            <w:shd w:val="clear" w:color="auto" w:fill="EBF5FB"/>
          </w:tcPr>
          <w:p>
            <w:pPr>
              <w:spacing w:before="20" w:after="20"/>
              <w:jc w:val="center"/>
            </w:pPr>
            <w:r/>
            <w:r>
              <w:rPr>
                <w:b w:val="0"/>
                <w:sz w:val="20"/>
              </w:rPr>
              <w:t>0,242</w:t>
            </w:r>
          </w:p>
        </w:tc>
        <w:tc>
          <w:tcPr>
            <w:tcW w:type="dxa" w:w="1568"/>
            <w:shd w:val="clear" w:color="auto" w:fill="EBF5FB"/>
          </w:tcPr>
          <w:p>
            <w:pPr>
              <w:spacing w:before="20" w:after="20"/>
              <w:jc w:val="center"/>
            </w:pPr>
            <w:r/>
            <w:r>
              <w:rPr>
                <w:b w:val="0"/>
                <w:sz w:val="20"/>
              </w:rPr>
              <w:t>0,703</w:t>
            </w:r>
          </w:p>
        </w:tc>
        <w:tc>
          <w:tcPr>
            <w:tcW w:type="dxa" w:w="1568"/>
            <w:shd w:val="clear" w:color="auto" w:fill="EBF5FB"/>
          </w:tcPr>
          <w:p>
            <w:pPr>
              <w:spacing w:before="20" w:after="20"/>
              <w:jc w:val="center"/>
            </w:pPr>
            <w:r/>
            <w:r>
              <w:rPr>
                <w:b w:val="0"/>
                <w:sz w:val="20"/>
              </w:rPr>
              <w:t>&lt; 1s</w:t>
            </w:r>
          </w:p>
        </w:tc>
      </w:tr>
      <w:tr>
        <w:tc>
          <w:tcPr>
            <w:tcW w:type="dxa" w:w="1568"/>
            <w:shd w:val="clear" w:color="auto" w:fill="EAFAF1"/>
            <w:shd w:val="clear" w:color="auto" w:fill="EAFAF1"/>
          </w:tcPr>
          <w:p>
            <w:pPr>
              <w:spacing w:before="20" w:after="20"/>
              <w:jc w:val="left"/>
            </w:pPr>
            <w:r/>
            <w:r>
              <w:rPr>
                <w:b w:val="0"/>
                <w:sz w:val="20"/>
              </w:rPr>
              <w:t>Random Forest</w:t>
            </w:r>
          </w:p>
        </w:tc>
        <w:tc>
          <w:tcPr>
            <w:tcW w:type="dxa" w:w="1568"/>
            <w:shd w:val="clear" w:color="auto" w:fill="EAFAF1"/>
          </w:tcPr>
          <w:p>
            <w:pPr>
              <w:spacing w:before="20" w:after="20"/>
              <w:jc w:val="center"/>
            </w:pPr>
            <w:r/>
            <w:r>
              <w:rPr>
                <w:b w:val="0"/>
                <w:sz w:val="20"/>
              </w:rPr>
              <w:t>62,5 %</w:t>
            </w:r>
          </w:p>
        </w:tc>
        <w:tc>
          <w:tcPr>
            <w:tcW w:type="dxa" w:w="1568"/>
            <w:shd w:val="clear" w:color="auto" w:fill="EAFAF1"/>
          </w:tcPr>
          <w:p>
            <w:pPr>
              <w:spacing w:before="20" w:after="20"/>
              <w:jc w:val="center"/>
            </w:pPr>
            <w:r/>
            <w:r>
              <w:rPr>
                <w:b w:val="0"/>
                <w:sz w:val="20"/>
              </w:rPr>
              <w:t>0,459</w:t>
            </w:r>
          </w:p>
        </w:tc>
        <w:tc>
          <w:tcPr>
            <w:tcW w:type="dxa" w:w="1568"/>
            <w:shd w:val="clear" w:color="auto" w:fill="EAFAF1"/>
          </w:tcPr>
          <w:p>
            <w:pPr>
              <w:spacing w:before="20" w:after="20"/>
              <w:jc w:val="center"/>
            </w:pPr>
            <w:r/>
            <w:r>
              <w:rPr>
                <w:b w:val="0"/>
                <w:sz w:val="20"/>
              </w:rPr>
              <w:t>0,177</w:t>
            </w:r>
          </w:p>
        </w:tc>
        <w:tc>
          <w:tcPr>
            <w:tcW w:type="dxa" w:w="1568"/>
            <w:shd w:val="clear" w:color="auto" w:fill="EAFAF1"/>
          </w:tcPr>
          <w:p>
            <w:pPr>
              <w:spacing w:before="20" w:after="20"/>
              <w:jc w:val="center"/>
            </w:pPr>
            <w:r/>
            <w:r>
              <w:rPr>
                <w:b w:val="0"/>
                <w:sz w:val="20"/>
              </w:rPr>
              <w:t>0,718</w:t>
            </w:r>
          </w:p>
        </w:tc>
        <w:tc>
          <w:tcPr>
            <w:tcW w:type="dxa" w:w="1568"/>
            <w:shd w:val="clear" w:color="auto" w:fill="EAFAF1"/>
          </w:tcPr>
          <w:p>
            <w:pPr>
              <w:spacing w:before="20" w:after="20"/>
              <w:jc w:val="center"/>
            </w:pPr>
            <w:r/>
            <w:r>
              <w:rPr>
                <w:b w:val="0"/>
                <w:sz w:val="20"/>
              </w:rPr>
              <w:t>~15s</w:t>
            </w:r>
          </w:p>
        </w:tc>
      </w:tr>
      <w:tr>
        <w:tc>
          <w:tcPr>
            <w:tcW w:type="dxa" w:w="1568"/>
            <w:shd w:val="clear" w:color="auto" w:fill="FDECEA"/>
            <w:shd w:val="clear" w:color="auto" w:fill="FDECEA"/>
          </w:tcPr>
          <w:p>
            <w:pPr>
              <w:spacing w:before="20" w:after="20"/>
              <w:jc w:val="left"/>
            </w:pPr>
            <w:r/>
            <w:r>
              <w:rPr>
                <w:b w:val="0"/>
                <w:sz w:val="20"/>
              </w:rPr>
              <w:t>XGBoost (optimisé)</w:t>
            </w:r>
          </w:p>
        </w:tc>
        <w:tc>
          <w:tcPr>
            <w:tcW w:type="dxa" w:w="1568"/>
            <w:shd w:val="clear" w:color="auto" w:fill="FDECEA"/>
          </w:tcPr>
          <w:p>
            <w:pPr>
              <w:spacing w:before="20" w:after="20"/>
              <w:jc w:val="center"/>
            </w:pPr>
            <w:r/>
            <w:r>
              <w:rPr>
                <w:b/>
                <w:sz w:val="20"/>
              </w:rPr>
              <w:t>64,9 %</w:t>
            </w:r>
          </w:p>
        </w:tc>
        <w:tc>
          <w:tcPr>
            <w:tcW w:type="dxa" w:w="1568"/>
            <w:shd w:val="clear" w:color="auto" w:fill="FDECEA"/>
          </w:tcPr>
          <w:p>
            <w:pPr>
              <w:spacing w:before="20" w:after="20"/>
              <w:jc w:val="center"/>
            </w:pPr>
            <w:r/>
            <w:r>
              <w:rPr>
                <w:b/>
                <w:sz w:val="20"/>
              </w:rPr>
              <w:t>0,470</w:t>
            </w:r>
          </w:p>
        </w:tc>
        <w:tc>
          <w:tcPr>
            <w:tcW w:type="dxa" w:w="1568"/>
            <w:shd w:val="clear" w:color="auto" w:fill="FDECEA"/>
          </w:tcPr>
          <w:p>
            <w:pPr>
              <w:spacing w:before="20" w:after="20"/>
              <w:jc w:val="center"/>
            </w:pPr>
            <w:r/>
            <w:r>
              <w:rPr>
                <w:b/>
                <w:sz w:val="20"/>
              </w:rPr>
              <w:t>0,245</w:t>
            </w:r>
          </w:p>
        </w:tc>
        <w:tc>
          <w:tcPr>
            <w:tcW w:type="dxa" w:w="1568"/>
            <w:shd w:val="clear" w:color="auto" w:fill="FDECEA"/>
          </w:tcPr>
          <w:p>
            <w:pPr>
              <w:spacing w:before="20" w:after="20"/>
              <w:jc w:val="center"/>
            </w:pPr>
            <w:r/>
            <w:r>
              <w:rPr>
                <w:b/>
                <w:sz w:val="20"/>
              </w:rPr>
              <w:t>0,731</w:t>
            </w:r>
          </w:p>
        </w:tc>
        <w:tc>
          <w:tcPr>
            <w:tcW w:type="dxa" w:w="1568"/>
            <w:shd w:val="clear" w:color="auto" w:fill="FDECEA"/>
          </w:tcPr>
          <w:p>
            <w:pPr>
              <w:spacing w:before="20" w:after="20"/>
              <w:jc w:val="center"/>
            </w:pPr>
            <w:r/>
            <w:r>
              <w:rPr>
                <w:b/>
                <w:sz w:val="20"/>
              </w:rPr>
              <w:t>~30s</w:t>
            </w:r>
          </w:p>
        </w:tc>
      </w:tr>
    </w:tbl>
    <w:p>
      <w:pPr>
        <w:spacing w:before="40" w:after="160"/>
        <w:jc w:val="center"/>
      </w:pPr>
      <w:r>
        <w:rPr>
          <w:rFonts w:ascii="Calibri" w:hAnsi="Calibri"/>
          <w:b w:val="0"/>
          <w:i/>
          <w:color w:val="505050"/>
          <w:sz w:val="18"/>
        </w:rPr>
        <w:t>Tableau 8 — Comparaison des performances globales (jeu de test : 10 881 lignes, random_state=42)</w:t>
      </w:r>
    </w:p>
    <w:p>
      <w:pPr>
        <w:pStyle w:val="Heading2"/>
        <w:jc w:val="left"/>
      </w:pPr>
      <w:r>
        <w:rPr>
          <w:b/>
          <w:color w:val="00467F"/>
          <w:sz w:val="24"/>
        </w:rPr>
        <w:t>5.2 Performances détaillées par classe</w:t>
      </w:r>
    </w:p>
    <w:p>
      <w:pPr>
        <w:spacing w:before="0" w:after="120"/>
        <w:jc w:val="both"/>
      </w:pPr>
      <w:r>
        <w:rPr>
          <w:rFonts w:ascii="Calibri" w:hAnsi="Calibri"/>
          <w:b w:val="0"/>
          <w:i w:val="0"/>
          <w:sz w:val="22"/>
        </w:rPr>
        <w:t>La décomposition des métriques par classe révèle des comportements très différents selon l'algorithme, en particulier sur la classe 'Tué', classe minoritaire mais critique :</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1F3864"/>
          </w:tcPr>
          <w:p>
            <w:pPr>
              <w:spacing w:before="20" w:after="20"/>
              <w:jc w:val="center"/>
            </w:pPr>
            <w:r/>
            <w:r>
              <w:rPr>
                <w:b/>
                <w:color w:val="FFFFFF"/>
                <w:sz w:val="18"/>
              </w:rPr>
              <w:t>Modèle</w:t>
            </w:r>
          </w:p>
        </w:tc>
        <w:tc>
          <w:tcPr>
            <w:tcW w:type="dxa" w:w="941"/>
            <w:shd w:val="clear" w:color="auto" w:fill="27AE60"/>
          </w:tcPr>
          <w:p>
            <w:pPr>
              <w:spacing w:before="20" w:after="20"/>
              <w:jc w:val="center"/>
            </w:pPr>
            <w:r/>
            <w:r>
              <w:rPr>
                <w:b/>
                <w:color w:val="FFFFFF"/>
                <w:sz w:val="18"/>
              </w:rPr>
              <w:t>Blessé léger</w:t>
            </w:r>
          </w:p>
        </w:tc>
        <w:tc>
          <w:tcPr>
            <w:tcW w:type="dxa" w:w="941"/>
            <w:shd w:val="clear" w:color="auto" w:fill="27AE60"/>
          </w:tcPr>
          <w:p>
            <w:pPr>
              <w:spacing w:before="20" w:after="20"/>
              <w:jc w:val="center"/>
            </w:pPr>
            <w:r/>
            <w:r>
              <w:rPr>
                <w:b/>
                <w:color w:val="FFFFFF"/>
                <w:sz w:val="18"/>
              </w:rPr>
            </w:r>
          </w:p>
        </w:tc>
        <w:tc>
          <w:tcPr>
            <w:tcW w:type="dxa" w:w="941"/>
            <w:shd w:val="clear" w:color="auto" w:fill="27AE60"/>
          </w:tcPr>
          <w:p>
            <w:pPr>
              <w:spacing w:before="20" w:after="20"/>
              <w:jc w:val="center"/>
            </w:pPr>
            <w:r/>
            <w:r>
              <w:rPr>
                <w:b/>
                <w:color w:val="FFFFFF"/>
                <w:sz w:val="18"/>
              </w:rPr>
            </w:r>
          </w:p>
        </w:tc>
        <w:tc>
          <w:tcPr>
            <w:tcW w:type="dxa" w:w="941"/>
            <w:shd w:val="clear" w:color="auto" w:fill="E67E22"/>
          </w:tcPr>
          <w:p>
            <w:pPr>
              <w:spacing w:before="20" w:after="20"/>
              <w:jc w:val="center"/>
            </w:pPr>
            <w:r/>
            <w:r>
              <w:rPr>
                <w:b/>
                <w:color w:val="FFFFFF"/>
                <w:sz w:val="18"/>
              </w:rPr>
              <w:t>Blessé hospitalisé</w:t>
            </w:r>
          </w:p>
        </w:tc>
        <w:tc>
          <w:tcPr>
            <w:tcW w:type="dxa" w:w="941"/>
            <w:shd w:val="clear" w:color="auto" w:fill="E67E22"/>
          </w:tcPr>
          <w:p>
            <w:pPr>
              <w:spacing w:before="20" w:after="20"/>
              <w:jc w:val="center"/>
            </w:pPr>
            <w:r/>
            <w:r>
              <w:rPr>
                <w:b/>
                <w:color w:val="FFFFFF"/>
                <w:sz w:val="18"/>
              </w:rPr>
            </w:r>
          </w:p>
        </w:tc>
        <w:tc>
          <w:tcPr>
            <w:tcW w:type="dxa" w:w="941"/>
            <w:shd w:val="clear" w:color="auto" w:fill="E67E22"/>
          </w:tcPr>
          <w:p>
            <w:pPr>
              <w:spacing w:before="20" w:after="20"/>
              <w:jc w:val="center"/>
            </w:pPr>
            <w:r/>
            <w:r>
              <w:rPr>
                <w:b/>
                <w:color w:val="FFFFFF"/>
                <w:sz w:val="18"/>
              </w:rPr>
            </w:r>
          </w:p>
        </w:tc>
        <w:tc>
          <w:tcPr>
            <w:tcW w:type="dxa" w:w="941"/>
            <w:shd w:val="clear" w:color="auto" w:fill="C0392B"/>
          </w:tcPr>
          <w:p>
            <w:pPr>
              <w:spacing w:before="20" w:after="20"/>
              <w:jc w:val="center"/>
            </w:pPr>
            <w:r/>
            <w:r>
              <w:rPr>
                <w:b/>
                <w:color w:val="FFFFFF"/>
                <w:sz w:val="18"/>
              </w:rPr>
              <w:t>Tué</w:t>
            </w:r>
          </w:p>
        </w:tc>
        <w:tc>
          <w:tcPr>
            <w:tcW w:type="dxa" w:w="941"/>
            <w:shd w:val="clear" w:color="auto" w:fill="C0392B"/>
          </w:tcPr>
          <w:p>
            <w:pPr>
              <w:spacing w:before="20" w:after="20"/>
              <w:jc w:val="center"/>
            </w:pPr>
            <w:r/>
            <w:r>
              <w:rPr>
                <w:b/>
                <w:color w:val="FFFFFF"/>
                <w:sz w:val="18"/>
              </w:rPr>
            </w:r>
          </w:p>
        </w:tc>
        <w:tc>
          <w:tcPr>
            <w:tcW w:type="dxa" w:w="941"/>
            <w:shd w:val="clear" w:color="auto" w:fill="C0392B"/>
          </w:tcPr>
          <w:p>
            <w:pPr>
              <w:spacing w:before="20" w:after="20"/>
              <w:jc w:val="center"/>
            </w:pPr>
            <w:r/>
            <w:r>
              <w:rPr>
                <w:b/>
                <w:color w:val="FFFFFF"/>
                <w:sz w:val="18"/>
              </w:rPr>
            </w:r>
          </w:p>
        </w:tc>
      </w:tr>
      <w:tr>
        <w:tc>
          <w:tcPr>
            <w:tcW w:type="dxa" w:w="941"/>
            <w:shd w:val="clear" w:color="auto" w:fill="2C3E50"/>
          </w:tcPr>
          <w:p>
            <w:pPr>
              <w:spacing w:before="20" w:after="20"/>
              <w:jc w:val="center"/>
            </w:pPr>
            <w:r/>
            <w:r>
              <w:rPr>
                <w:b/>
                <w:color w:val="FFFFFF"/>
                <w:sz w:val="18"/>
              </w:rPr>
            </w:r>
          </w:p>
        </w:tc>
        <w:tc>
          <w:tcPr>
            <w:tcW w:type="dxa" w:w="941"/>
            <w:shd w:val="clear" w:color="auto" w:fill="145A32"/>
          </w:tcPr>
          <w:p>
            <w:pPr>
              <w:spacing w:before="20" w:after="20"/>
              <w:jc w:val="center"/>
            </w:pPr>
            <w:r/>
            <w:r>
              <w:rPr>
                <w:b/>
                <w:color w:val="FFFFFF"/>
                <w:sz w:val="18"/>
              </w:rPr>
              <w:t>Préc.</w:t>
            </w:r>
          </w:p>
        </w:tc>
        <w:tc>
          <w:tcPr>
            <w:tcW w:type="dxa" w:w="941"/>
            <w:shd w:val="clear" w:color="auto" w:fill="145A32"/>
          </w:tcPr>
          <w:p>
            <w:pPr>
              <w:spacing w:before="20" w:after="20"/>
              <w:jc w:val="center"/>
            </w:pPr>
            <w:r/>
            <w:r>
              <w:rPr>
                <w:b/>
                <w:color w:val="FFFFFF"/>
                <w:sz w:val="18"/>
              </w:rPr>
              <w:t>Rappel</w:t>
            </w:r>
          </w:p>
        </w:tc>
        <w:tc>
          <w:tcPr>
            <w:tcW w:type="dxa" w:w="941"/>
            <w:shd w:val="clear" w:color="auto" w:fill="145A32"/>
          </w:tcPr>
          <w:p>
            <w:pPr>
              <w:spacing w:before="20" w:after="20"/>
              <w:jc w:val="center"/>
            </w:pPr>
            <w:r/>
            <w:r>
              <w:rPr>
                <w:b/>
                <w:color w:val="FFFFFF"/>
                <w:sz w:val="18"/>
              </w:rPr>
              <w:t>F1</w:t>
            </w:r>
          </w:p>
        </w:tc>
        <w:tc>
          <w:tcPr>
            <w:tcW w:type="dxa" w:w="941"/>
            <w:shd w:val="clear" w:color="auto" w:fill="7D6608"/>
          </w:tcPr>
          <w:p>
            <w:pPr>
              <w:spacing w:before="20" w:after="20"/>
              <w:jc w:val="center"/>
            </w:pPr>
            <w:r/>
            <w:r>
              <w:rPr>
                <w:b/>
                <w:color w:val="FFFFFF"/>
                <w:sz w:val="18"/>
              </w:rPr>
              <w:t>Préc.</w:t>
            </w:r>
          </w:p>
        </w:tc>
        <w:tc>
          <w:tcPr>
            <w:tcW w:type="dxa" w:w="941"/>
            <w:shd w:val="clear" w:color="auto" w:fill="7D6608"/>
          </w:tcPr>
          <w:p>
            <w:pPr>
              <w:spacing w:before="20" w:after="20"/>
              <w:jc w:val="center"/>
            </w:pPr>
            <w:r/>
            <w:r>
              <w:rPr>
                <w:b/>
                <w:color w:val="FFFFFF"/>
                <w:sz w:val="18"/>
              </w:rPr>
              <w:t>Rappel</w:t>
            </w:r>
          </w:p>
        </w:tc>
        <w:tc>
          <w:tcPr>
            <w:tcW w:type="dxa" w:w="941"/>
            <w:shd w:val="clear" w:color="auto" w:fill="7D6608"/>
          </w:tcPr>
          <w:p>
            <w:pPr>
              <w:spacing w:before="20" w:after="20"/>
              <w:jc w:val="center"/>
            </w:pPr>
            <w:r/>
            <w:r>
              <w:rPr>
                <w:b/>
                <w:color w:val="FFFFFF"/>
                <w:sz w:val="18"/>
              </w:rPr>
              <w:t>F1</w:t>
            </w:r>
          </w:p>
        </w:tc>
        <w:tc>
          <w:tcPr>
            <w:tcW w:type="dxa" w:w="941"/>
            <w:shd w:val="clear" w:color="auto" w:fill="922B21"/>
          </w:tcPr>
          <w:p>
            <w:pPr>
              <w:spacing w:before="20" w:after="20"/>
              <w:jc w:val="center"/>
            </w:pPr>
            <w:r/>
            <w:r>
              <w:rPr>
                <w:b/>
                <w:color w:val="FFFFFF"/>
                <w:sz w:val="18"/>
              </w:rPr>
              <w:t>Préc.</w:t>
            </w:r>
          </w:p>
        </w:tc>
        <w:tc>
          <w:tcPr>
            <w:tcW w:type="dxa" w:w="941"/>
            <w:shd w:val="clear" w:color="auto" w:fill="922B21"/>
          </w:tcPr>
          <w:p>
            <w:pPr>
              <w:spacing w:before="20" w:after="20"/>
              <w:jc w:val="center"/>
            </w:pPr>
            <w:r/>
            <w:r>
              <w:rPr>
                <w:b/>
                <w:color w:val="FFFFFF"/>
                <w:sz w:val="18"/>
              </w:rPr>
              <w:t>Rappel</w:t>
            </w:r>
          </w:p>
        </w:tc>
        <w:tc>
          <w:tcPr>
            <w:tcW w:type="dxa" w:w="941"/>
            <w:shd w:val="clear" w:color="auto" w:fill="922B21"/>
          </w:tcPr>
          <w:p>
            <w:pPr>
              <w:spacing w:before="20" w:after="20"/>
              <w:jc w:val="center"/>
            </w:pPr>
            <w:r/>
            <w:r>
              <w:rPr>
                <w:b/>
                <w:color w:val="FFFFFF"/>
                <w:sz w:val="18"/>
              </w:rPr>
              <w:t>F1</w:t>
            </w:r>
          </w:p>
        </w:tc>
      </w:tr>
      <w:tr>
        <w:tc>
          <w:tcPr>
            <w:tcW w:type="dxa" w:w="941"/>
            <w:shd w:val="clear" w:color="auto" w:fill="EBF5FB"/>
          </w:tcPr>
          <w:p>
            <w:pPr>
              <w:spacing w:before="20" w:after="20"/>
              <w:jc w:val="left"/>
            </w:pPr>
            <w:r/>
            <w:r>
              <w:rPr>
                <w:b w:val="0"/>
                <w:sz w:val="19"/>
              </w:rPr>
              <w:t>Régression Logistique</w:t>
            </w:r>
          </w:p>
        </w:tc>
        <w:tc>
          <w:tcPr>
            <w:tcW w:type="dxa" w:w="941"/>
            <w:shd w:val="clear" w:color="auto" w:fill="EBF5FB"/>
          </w:tcPr>
          <w:p>
            <w:pPr>
              <w:spacing w:before="20" w:after="20"/>
              <w:jc w:val="center"/>
            </w:pPr>
            <w:r/>
            <w:r>
              <w:rPr>
                <w:b w:val="0"/>
                <w:sz w:val="19"/>
              </w:rPr>
              <w:t>0,825</w:t>
            </w:r>
          </w:p>
        </w:tc>
        <w:tc>
          <w:tcPr>
            <w:tcW w:type="dxa" w:w="941"/>
            <w:shd w:val="clear" w:color="auto" w:fill="EBF5FB"/>
          </w:tcPr>
          <w:p>
            <w:pPr>
              <w:spacing w:before="20" w:after="20"/>
              <w:jc w:val="center"/>
            </w:pPr>
            <w:r/>
            <w:r>
              <w:rPr>
                <w:b w:val="0"/>
                <w:sz w:val="19"/>
              </w:rPr>
              <w:t>0,687</w:t>
            </w:r>
          </w:p>
        </w:tc>
        <w:tc>
          <w:tcPr>
            <w:tcW w:type="dxa" w:w="941"/>
            <w:shd w:val="clear" w:color="auto" w:fill="EBF5FB"/>
          </w:tcPr>
          <w:p>
            <w:pPr>
              <w:spacing w:before="20" w:after="20"/>
              <w:jc w:val="center"/>
            </w:pPr>
            <w:r/>
            <w:r>
              <w:rPr>
                <w:b w:val="0"/>
                <w:sz w:val="19"/>
              </w:rPr>
              <w:t>0,750</w:t>
            </w:r>
          </w:p>
        </w:tc>
        <w:tc>
          <w:tcPr>
            <w:tcW w:type="dxa" w:w="941"/>
            <w:shd w:val="clear" w:color="auto" w:fill="EBF5FB"/>
          </w:tcPr>
          <w:p>
            <w:pPr>
              <w:spacing w:before="20" w:after="20"/>
              <w:jc w:val="center"/>
            </w:pPr>
            <w:r/>
            <w:r>
              <w:rPr>
                <w:b w:val="0"/>
                <w:sz w:val="19"/>
              </w:rPr>
              <w:t>0,430</w:t>
            </w:r>
          </w:p>
        </w:tc>
        <w:tc>
          <w:tcPr>
            <w:tcW w:type="dxa" w:w="941"/>
            <w:shd w:val="clear" w:color="auto" w:fill="EBF5FB"/>
          </w:tcPr>
          <w:p>
            <w:pPr>
              <w:spacing w:before="20" w:after="20"/>
              <w:jc w:val="center"/>
            </w:pPr>
            <w:r/>
            <w:r>
              <w:rPr>
                <w:b w:val="0"/>
                <w:sz w:val="19"/>
              </w:rPr>
              <w:t>0,327</w:t>
            </w:r>
          </w:p>
        </w:tc>
        <w:tc>
          <w:tcPr>
            <w:tcW w:type="dxa" w:w="941"/>
            <w:shd w:val="clear" w:color="auto" w:fill="EBF5FB"/>
          </w:tcPr>
          <w:p>
            <w:pPr>
              <w:spacing w:before="20" w:after="20"/>
              <w:jc w:val="center"/>
            </w:pPr>
            <w:r/>
            <w:r>
              <w:rPr>
                <w:b w:val="0"/>
                <w:sz w:val="19"/>
              </w:rPr>
              <w:t>0,371</w:t>
            </w:r>
          </w:p>
        </w:tc>
        <w:tc>
          <w:tcPr>
            <w:tcW w:type="dxa" w:w="941"/>
            <w:shd w:val="clear" w:color="auto" w:fill="EBF5FB"/>
          </w:tcPr>
          <w:p>
            <w:pPr>
              <w:spacing w:before="20" w:after="20"/>
              <w:jc w:val="center"/>
            </w:pPr>
            <w:r/>
            <w:r>
              <w:rPr>
                <w:b w:val="0"/>
                <w:sz w:val="19"/>
              </w:rPr>
              <w:t>0,151</w:t>
            </w:r>
          </w:p>
        </w:tc>
        <w:tc>
          <w:tcPr>
            <w:tcW w:type="dxa" w:w="941"/>
            <w:shd w:val="clear" w:color="auto" w:fill="EBF5FB"/>
          </w:tcPr>
          <w:p>
            <w:pPr>
              <w:spacing w:before="20" w:after="20"/>
              <w:jc w:val="center"/>
            </w:pPr>
            <w:r/>
            <w:r>
              <w:rPr>
                <w:b w:val="0"/>
                <w:sz w:val="19"/>
              </w:rPr>
              <w:t>0,609</w:t>
            </w:r>
          </w:p>
        </w:tc>
        <w:tc>
          <w:tcPr>
            <w:tcW w:type="dxa" w:w="941"/>
            <w:shd w:val="clear" w:color="auto" w:fill="EBF5FB"/>
          </w:tcPr>
          <w:p>
            <w:pPr>
              <w:spacing w:before="20" w:after="20"/>
              <w:jc w:val="center"/>
            </w:pPr>
            <w:r/>
            <w:r>
              <w:rPr>
                <w:b w:val="0"/>
                <w:sz w:val="19"/>
              </w:rPr>
              <w:t>0,242</w:t>
            </w:r>
          </w:p>
        </w:tc>
      </w:tr>
      <w:tr>
        <w:tc>
          <w:tcPr>
            <w:tcW w:type="dxa" w:w="941"/>
            <w:shd w:val="clear" w:color="auto" w:fill="EAFAF1"/>
          </w:tcPr>
          <w:p>
            <w:pPr>
              <w:spacing w:before="20" w:after="20"/>
              <w:jc w:val="left"/>
            </w:pPr>
            <w:r/>
            <w:r>
              <w:rPr>
                <w:b w:val="0"/>
                <w:sz w:val="19"/>
              </w:rPr>
              <w:t>Random Forest</w:t>
            </w:r>
          </w:p>
        </w:tc>
        <w:tc>
          <w:tcPr>
            <w:tcW w:type="dxa" w:w="941"/>
            <w:shd w:val="clear" w:color="auto" w:fill="EAFAF1"/>
          </w:tcPr>
          <w:p>
            <w:pPr>
              <w:spacing w:before="20" w:after="20"/>
              <w:jc w:val="center"/>
            </w:pPr>
            <w:r/>
            <w:r>
              <w:rPr>
                <w:b w:val="0"/>
                <w:sz w:val="19"/>
              </w:rPr>
              <w:t>0,761</w:t>
            </w:r>
          </w:p>
        </w:tc>
        <w:tc>
          <w:tcPr>
            <w:tcW w:type="dxa" w:w="941"/>
            <w:shd w:val="clear" w:color="auto" w:fill="EAFAF1"/>
          </w:tcPr>
          <w:p>
            <w:pPr>
              <w:spacing w:before="20" w:after="20"/>
              <w:jc w:val="center"/>
            </w:pPr>
            <w:r/>
            <w:r>
              <w:rPr>
                <w:b w:val="0"/>
                <w:sz w:val="19"/>
              </w:rPr>
              <w:t>0,757</w:t>
            </w:r>
          </w:p>
        </w:tc>
        <w:tc>
          <w:tcPr>
            <w:tcW w:type="dxa" w:w="941"/>
            <w:shd w:val="clear" w:color="auto" w:fill="EAFAF1"/>
          </w:tcPr>
          <w:p>
            <w:pPr>
              <w:spacing w:before="20" w:after="20"/>
              <w:jc w:val="center"/>
            </w:pPr>
            <w:r/>
            <w:r>
              <w:rPr>
                <w:b w:val="0"/>
                <w:sz w:val="19"/>
              </w:rPr>
              <w:t>0,759</w:t>
            </w:r>
          </w:p>
        </w:tc>
        <w:tc>
          <w:tcPr>
            <w:tcW w:type="dxa" w:w="941"/>
            <w:shd w:val="clear" w:color="auto" w:fill="EAFAF1"/>
          </w:tcPr>
          <w:p>
            <w:pPr>
              <w:spacing w:before="20" w:after="20"/>
              <w:jc w:val="center"/>
            </w:pPr>
            <w:r/>
            <w:r>
              <w:rPr>
                <w:b w:val="0"/>
                <w:sz w:val="19"/>
              </w:rPr>
              <w:t>0,459</w:t>
            </w:r>
          </w:p>
        </w:tc>
        <w:tc>
          <w:tcPr>
            <w:tcW w:type="dxa" w:w="941"/>
            <w:shd w:val="clear" w:color="auto" w:fill="EAFAF1"/>
          </w:tcPr>
          <w:p>
            <w:pPr>
              <w:spacing w:before="20" w:after="20"/>
              <w:jc w:val="center"/>
            </w:pPr>
            <w:r/>
            <w:r>
              <w:rPr>
                <w:b w:val="0"/>
                <w:sz w:val="19"/>
              </w:rPr>
              <w:t>0,427</w:t>
            </w:r>
          </w:p>
        </w:tc>
        <w:tc>
          <w:tcPr>
            <w:tcW w:type="dxa" w:w="941"/>
            <w:shd w:val="clear" w:color="auto" w:fill="EAFAF1"/>
          </w:tcPr>
          <w:p>
            <w:pPr>
              <w:spacing w:before="20" w:after="20"/>
              <w:jc w:val="center"/>
            </w:pPr>
            <w:r/>
            <w:r>
              <w:rPr>
                <w:b w:val="0"/>
                <w:sz w:val="19"/>
              </w:rPr>
              <w:t>0,442</w:t>
            </w:r>
          </w:p>
        </w:tc>
        <w:tc>
          <w:tcPr>
            <w:tcW w:type="dxa" w:w="941"/>
            <w:shd w:val="clear" w:color="auto" w:fill="EAFAF1"/>
          </w:tcPr>
          <w:p>
            <w:pPr>
              <w:spacing w:before="20" w:after="20"/>
              <w:jc w:val="center"/>
            </w:pPr>
            <w:r/>
            <w:r>
              <w:rPr>
                <w:b w:val="0"/>
                <w:sz w:val="19"/>
              </w:rPr>
              <w:t>0,151</w:t>
            </w:r>
          </w:p>
        </w:tc>
        <w:tc>
          <w:tcPr>
            <w:tcW w:type="dxa" w:w="941"/>
            <w:shd w:val="clear" w:color="auto" w:fill="EAFAF1"/>
          </w:tcPr>
          <w:p>
            <w:pPr>
              <w:spacing w:before="20" w:after="20"/>
              <w:jc w:val="center"/>
            </w:pPr>
            <w:r/>
            <w:r>
              <w:rPr>
                <w:b w:val="0"/>
                <w:sz w:val="19"/>
              </w:rPr>
              <w:t>0,212</w:t>
            </w:r>
          </w:p>
        </w:tc>
        <w:tc>
          <w:tcPr>
            <w:tcW w:type="dxa" w:w="941"/>
            <w:shd w:val="clear" w:color="auto" w:fill="EAFAF1"/>
          </w:tcPr>
          <w:p>
            <w:pPr>
              <w:spacing w:before="20" w:after="20"/>
              <w:jc w:val="center"/>
            </w:pPr>
            <w:r/>
            <w:r>
              <w:rPr>
                <w:b w:val="0"/>
                <w:sz w:val="19"/>
              </w:rPr>
              <w:t>0,177</w:t>
            </w:r>
          </w:p>
        </w:tc>
      </w:tr>
      <w:tr>
        <w:tc>
          <w:tcPr>
            <w:tcW w:type="dxa" w:w="941"/>
            <w:shd w:val="clear" w:color="auto" w:fill="FDECEA"/>
          </w:tcPr>
          <w:p>
            <w:pPr>
              <w:spacing w:before="20" w:after="20"/>
              <w:jc w:val="left"/>
            </w:pPr>
            <w:r/>
            <w:r>
              <w:rPr>
                <w:b w:val="0"/>
                <w:sz w:val="19"/>
              </w:rPr>
              <w:t>XGBoost (optimisé)</w:t>
            </w:r>
          </w:p>
        </w:tc>
        <w:tc>
          <w:tcPr>
            <w:tcW w:type="dxa" w:w="941"/>
            <w:shd w:val="clear" w:color="auto" w:fill="FDECEA"/>
          </w:tcPr>
          <w:p>
            <w:pPr>
              <w:spacing w:before="20" w:after="20"/>
              <w:jc w:val="center"/>
            </w:pPr>
            <w:r/>
            <w:r>
              <w:rPr>
                <w:b w:val="0"/>
                <w:sz w:val="19"/>
              </w:rPr>
              <w:t>0,784</w:t>
            </w:r>
          </w:p>
        </w:tc>
        <w:tc>
          <w:tcPr>
            <w:tcW w:type="dxa" w:w="941"/>
            <w:shd w:val="clear" w:color="auto" w:fill="FDECEA"/>
          </w:tcPr>
          <w:p>
            <w:pPr>
              <w:spacing w:before="20" w:after="20"/>
              <w:jc w:val="center"/>
            </w:pPr>
            <w:r/>
            <w:r>
              <w:rPr>
                <w:b w:val="0"/>
                <w:sz w:val="19"/>
              </w:rPr>
              <w:t>0,749</w:t>
            </w:r>
          </w:p>
        </w:tc>
        <w:tc>
          <w:tcPr>
            <w:tcW w:type="dxa" w:w="941"/>
            <w:shd w:val="clear" w:color="auto" w:fill="FDECEA"/>
          </w:tcPr>
          <w:p>
            <w:pPr>
              <w:spacing w:before="20" w:after="20"/>
              <w:jc w:val="center"/>
            </w:pPr>
            <w:r/>
            <w:r>
              <w:rPr>
                <w:b w:val="0"/>
                <w:sz w:val="19"/>
              </w:rPr>
              <w:t>0,766</w:t>
            </w:r>
          </w:p>
        </w:tc>
        <w:tc>
          <w:tcPr>
            <w:tcW w:type="dxa" w:w="941"/>
            <w:shd w:val="clear" w:color="auto" w:fill="FDECEA"/>
          </w:tcPr>
          <w:p>
            <w:pPr>
              <w:spacing w:before="20" w:after="20"/>
              <w:jc w:val="center"/>
            </w:pPr>
            <w:r/>
            <w:r>
              <w:rPr>
                <w:b w:val="0"/>
                <w:sz w:val="19"/>
              </w:rPr>
              <w:t>0,461</w:t>
            </w:r>
          </w:p>
        </w:tc>
        <w:tc>
          <w:tcPr>
            <w:tcW w:type="dxa" w:w="941"/>
            <w:shd w:val="clear" w:color="auto" w:fill="FDECEA"/>
          </w:tcPr>
          <w:p>
            <w:pPr>
              <w:spacing w:before="20" w:after="20"/>
              <w:jc w:val="center"/>
            </w:pPr>
            <w:r/>
            <w:r>
              <w:rPr>
                <w:b w:val="0"/>
                <w:sz w:val="19"/>
              </w:rPr>
              <w:t>0,432</w:t>
            </w:r>
          </w:p>
        </w:tc>
        <w:tc>
          <w:tcPr>
            <w:tcW w:type="dxa" w:w="941"/>
            <w:shd w:val="clear" w:color="auto" w:fill="FDECEA"/>
          </w:tcPr>
          <w:p>
            <w:pPr>
              <w:spacing w:before="20" w:after="20"/>
              <w:jc w:val="center"/>
            </w:pPr>
            <w:r/>
            <w:r>
              <w:rPr>
                <w:b w:val="0"/>
                <w:sz w:val="19"/>
              </w:rPr>
              <w:t>0,446</w:t>
            </w:r>
          </w:p>
        </w:tc>
        <w:tc>
          <w:tcPr>
            <w:tcW w:type="dxa" w:w="941"/>
            <w:shd w:val="clear" w:color="auto" w:fill="FDECEA"/>
          </w:tcPr>
          <w:p>
            <w:pPr>
              <w:spacing w:before="20" w:after="20"/>
              <w:jc w:val="center"/>
            </w:pPr>
            <w:r/>
            <w:r>
              <w:rPr>
                <w:b w:val="0"/>
                <w:sz w:val="19"/>
              </w:rPr>
              <w:t>0,177</w:t>
            </w:r>
          </w:p>
        </w:tc>
        <w:tc>
          <w:tcPr>
            <w:tcW w:type="dxa" w:w="941"/>
            <w:shd w:val="clear" w:color="auto" w:fill="FDECEA"/>
          </w:tcPr>
          <w:p>
            <w:pPr>
              <w:spacing w:before="20" w:after="20"/>
              <w:jc w:val="center"/>
            </w:pPr>
            <w:r/>
            <w:r>
              <w:rPr>
                <w:b w:val="0"/>
                <w:sz w:val="19"/>
              </w:rPr>
              <w:t>0,399</w:t>
            </w:r>
          </w:p>
        </w:tc>
        <w:tc>
          <w:tcPr>
            <w:tcW w:type="dxa" w:w="941"/>
            <w:shd w:val="clear" w:color="auto" w:fill="FDECEA"/>
          </w:tcPr>
          <w:p>
            <w:pPr>
              <w:spacing w:before="20" w:after="20"/>
              <w:jc w:val="center"/>
            </w:pPr>
            <w:r/>
            <w:r>
              <w:rPr>
                <w:b w:val="0"/>
                <w:sz w:val="19"/>
              </w:rPr>
              <w:t>0,245</w:t>
            </w:r>
          </w:p>
        </w:tc>
      </w:tr>
    </w:tbl>
    <w:p>
      <w:pPr>
        <w:spacing w:before="40" w:after="160"/>
        <w:jc w:val="center"/>
      </w:pPr>
      <w:r>
        <w:rPr>
          <w:rFonts w:ascii="Calibri" w:hAnsi="Calibri"/>
          <w:b w:val="0"/>
          <w:i/>
          <w:color w:val="505050"/>
          <w:sz w:val="18"/>
        </w:rPr>
        <w:t>Tableau 9 — Précision, Rappel et F1 par classe et par modèle (jeu de test)</w:t>
      </w:r>
    </w:p>
    <w:p>
      <w:pPr>
        <w:pStyle w:val="Heading2"/>
        <w:jc w:val="left"/>
      </w:pPr>
      <w:r>
        <w:rPr>
          <w:b/>
          <w:color w:val="00467F"/>
          <w:sz w:val="24"/>
        </w:rPr>
        <w:t>5.3 Validation croisée et stabilité</w:t>
      </w:r>
    </w:p>
    <w:p>
      <w:pPr>
        <w:spacing w:before="0" w:after="120"/>
        <w:jc w:val="both"/>
      </w:pPr>
      <w:r>
        <w:rPr>
          <w:rFonts w:ascii="Calibri" w:hAnsi="Calibri"/>
          <w:b w:val="0"/>
          <w:i w:val="0"/>
          <w:sz w:val="22"/>
        </w:rPr>
        <w:t>La validation croisée 5-Fold Stratifiée (sur l'intégralité du dataset) confirme la robustesse des résultats et évalue la variance des estimateurs :</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3864"/>
          </w:tcPr>
          <w:p>
            <w:pPr>
              <w:spacing w:before="20" w:after="20"/>
              <w:jc w:val="center"/>
            </w:pPr>
            <w:r/>
            <w:r>
              <w:rPr>
                <w:b/>
                <w:color w:val="FFFFFF"/>
                <w:sz w:val="20"/>
              </w:rPr>
              <w:t>Modèle</w:t>
            </w:r>
          </w:p>
        </w:tc>
        <w:tc>
          <w:tcPr>
            <w:tcW w:type="dxa" w:w="2351"/>
            <w:shd w:val="clear" w:color="auto" w:fill="1F3864"/>
          </w:tcPr>
          <w:p>
            <w:pPr>
              <w:spacing w:before="20" w:after="20"/>
              <w:jc w:val="center"/>
            </w:pPr>
            <w:r/>
            <w:r>
              <w:rPr>
                <w:b/>
                <w:color w:val="FFFFFF"/>
                <w:sz w:val="20"/>
              </w:rPr>
              <w:t>F1 Macro (µ ± σ)</w:t>
            </w:r>
          </w:p>
        </w:tc>
        <w:tc>
          <w:tcPr>
            <w:tcW w:type="dxa" w:w="2351"/>
            <w:shd w:val="clear" w:color="auto" w:fill="1F3864"/>
          </w:tcPr>
          <w:p>
            <w:pPr>
              <w:spacing w:before="20" w:after="20"/>
              <w:jc w:val="center"/>
            </w:pPr>
            <w:r/>
            <w:r>
              <w:rPr>
                <w:b/>
                <w:color w:val="FFFFFF"/>
                <w:sz w:val="20"/>
              </w:rPr>
              <w:t>Balanced Accuracy (µ ± σ)</w:t>
            </w:r>
          </w:p>
        </w:tc>
        <w:tc>
          <w:tcPr>
            <w:tcW w:type="dxa" w:w="2351"/>
            <w:shd w:val="clear" w:color="auto" w:fill="1F3864"/>
          </w:tcPr>
          <w:p>
            <w:pPr>
              <w:spacing w:before="20" w:after="20"/>
              <w:jc w:val="center"/>
            </w:pPr>
            <w:r/>
            <w:r>
              <w:rPr>
                <w:b/>
                <w:color w:val="FFFFFF"/>
                <w:sz w:val="20"/>
              </w:rPr>
              <w:t>Accuracy (µ ± σ)</w:t>
            </w:r>
          </w:p>
        </w:tc>
      </w:tr>
      <w:tr>
        <w:tc>
          <w:tcPr>
            <w:tcW w:type="dxa" w:w="2351"/>
            <w:shd w:val="clear" w:color="auto" w:fill="EBF5FB"/>
          </w:tcPr>
          <w:p>
            <w:pPr>
              <w:spacing w:before="20" w:after="20"/>
              <w:jc w:val="left"/>
            </w:pPr>
            <w:r/>
            <w:r>
              <w:rPr>
                <w:b w:val="0"/>
                <w:sz w:val="20"/>
              </w:rPr>
              <w:t>Régression Logistique</w:t>
            </w:r>
          </w:p>
        </w:tc>
        <w:tc>
          <w:tcPr>
            <w:tcW w:type="dxa" w:w="2351"/>
            <w:shd w:val="clear" w:color="auto" w:fill="EBF5FB"/>
          </w:tcPr>
          <w:p>
            <w:pPr>
              <w:spacing w:before="20" w:after="20"/>
              <w:jc w:val="center"/>
            </w:pPr>
            <w:r/>
            <w:r>
              <w:rPr>
                <w:b w:val="0"/>
                <w:sz w:val="20"/>
              </w:rPr>
              <w:t>0,451 ± 0,008</w:t>
            </w:r>
          </w:p>
        </w:tc>
        <w:tc>
          <w:tcPr>
            <w:tcW w:type="dxa" w:w="2351"/>
            <w:shd w:val="clear" w:color="auto" w:fill="EBF5FB"/>
          </w:tcPr>
          <w:p>
            <w:pPr>
              <w:spacing w:before="20" w:after="20"/>
              <w:jc w:val="center"/>
            </w:pPr>
            <w:r/>
            <w:r>
              <w:rPr>
                <w:b w:val="0"/>
                <w:sz w:val="20"/>
              </w:rPr>
              <w:t>0,637 ± 0,006</w:t>
            </w:r>
          </w:p>
        </w:tc>
        <w:tc>
          <w:tcPr>
            <w:tcW w:type="dxa" w:w="2351"/>
            <w:shd w:val="clear" w:color="auto" w:fill="EBF5FB"/>
          </w:tcPr>
          <w:p>
            <w:pPr>
              <w:spacing w:before="20" w:after="20"/>
              <w:jc w:val="center"/>
            </w:pPr>
            <w:r/>
            <w:r>
              <w:rPr>
                <w:b w:val="0"/>
                <w:sz w:val="20"/>
              </w:rPr>
              <w:t>0,573 ± 0,007</w:t>
            </w:r>
          </w:p>
        </w:tc>
      </w:tr>
      <w:tr>
        <w:tc>
          <w:tcPr>
            <w:tcW w:type="dxa" w:w="2351"/>
            <w:shd w:val="clear" w:color="auto" w:fill="EAFAF1"/>
          </w:tcPr>
          <w:p>
            <w:pPr>
              <w:spacing w:before="20" w:after="20"/>
              <w:jc w:val="left"/>
            </w:pPr>
            <w:r/>
            <w:r>
              <w:rPr>
                <w:b w:val="0"/>
                <w:sz w:val="20"/>
              </w:rPr>
              <w:t>Random Forest</w:t>
            </w:r>
          </w:p>
        </w:tc>
        <w:tc>
          <w:tcPr>
            <w:tcW w:type="dxa" w:w="2351"/>
            <w:shd w:val="clear" w:color="auto" w:fill="EAFAF1"/>
          </w:tcPr>
          <w:p>
            <w:pPr>
              <w:spacing w:before="20" w:after="20"/>
              <w:jc w:val="center"/>
            </w:pPr>
            <w:r/>
            <w:r>
              <w:rPr>
                <w:b w:val="0"/>
                <w:sz w:val="20"/>
              </w:rPr>
              <w:t>0,457 ± 0,005</w:t>
            </w:r>
          </w:p>
        </w:tc>
        <w:tc>
          <w:tcPr>
            <w:tcW w:type="dxa" w:w="2351"/>
            <w:shd w:val="clear" w:color="auto" w:fill="EAFAF1"/>
          </w:tcPr>
          <w:p>
            <w:pPr>
              <w:spacing w:before="20" w:after="20"/>
              <w:jc w:val="center"/>
            </w:pPr>
            <w:r/>
            <w:r>
              <w:rPr>
                <w:b w:val="0"/>
                <w:sz w:val="20"/>
              </w:rPr>
              <w:t>0,633 ± 0,004</w:t>
            </w:r>
          </w:p>
        </w:tc>
        <w:tc>
          <w:tcPr>
            <w:tcW w:type="dxa" w:w="2351"/>
            <w:shd w:val="clear" w:color="auto" w:fill="EAFAF1"/>
          </w:tcPr>
          <w:p>
            <w:pPr>
              <w:spacing w:before="20" w:after="20"/>
              <w:jc w:val="center"/>
            </w:pPr>
            <w:r/>
            <w:r>
              <w:rPr>
                <w:b w:val="0"/>
                <w:sz w:val="20"/>
              </w:rPr>
              <w:t>0,621 ± 0,004</w:t>
            </w:r>
          </w:p>
        </w:tc>
      </w:tr>
      <w:tr>
        <w:tc>
          <w:tcPr>
            <w:tcW w:type="dxa" w:w="2351"/>
            <w:shd w:val="clear" w:color="auto" w:fill="FDECEA"/>
          </w:tcPr>
          <w:p>
            <w:pPr>
              <w:spacing w:before="20" w:after="20"/>
              <w:jc w:val="left"/>
            </w:pPr>
            <w:r/>
            <w:r>
              <w:rPr>
                <w:b w:val="0"/>
                <w:sz w:val="20"/>
              </w:rPr>
              <w:t>XGBoost</w:t>
            </w:r>
          </w:p>
        </w:tc>
        <w:tc>
          <w:tcPr>
            <w:tcW w:type="dxa" w:w="2351"/>
            <w:shd w:val="clear" w:color="auto" w:fill="FDECEA"/>
          </w:tcPr>
          <w:p>
            <w:pPr>
              <w:spacing w:before="20" w:after="20"/>
              <w:jc w:val="center"/>
            </w:pPr>
            <w:r/>
            <w:r>
              <w:rPr>
                <w:b w:val="0"/>
                <w:sz w:val="20"/>
              </w:rPr>
              <w:t>0,465 ± 0,006</w:t>
            </w:r>
          </w:p>
        </w:tc>
        <w:tc>
          <w:tcPr>
            <w:tcW w:type="dxa" w:w="2351"/>
            <w:shd w:val="clear" w:color="auto" w:fill="FDECEA"/>
          </w:tcPr>
          <w:p>
            <w:pPr>
              <w:spacing w:before="20" w:after="20"/>
              <w:jc w:val="center"/>
            </w:pPr>
            <w:r/>
            <w:r>
              <w:rPr>
                <w:b w:val="0"/>
                <w:sz w:val="20"/>
              </w:rPr>
              <w:t>0,648 ± 0,005</w:t>
            </w:r>
          </w:p>
        </w:tc>
        <w:tc>
          <w:tcPr>
            <w:tcW w:type="dxa" w:w="2351"/>
            <w:shd w:val="clear" w:color="auto" w:fill="FDECEA"/>
          </w:tcPr>
          <w:p>
            <w:pPr>
              <w:spacing w:before="20" w:after="20"/>
              <w:jc w:val="center"/>
            </w:pPr>
            <w:r/>
            <w:r>
              <w:rPr>
                <w:b w:val="0"/>
                <w:sz w:val="20"/>
              </w:rPr>
              <w:t>0,637 ± 0,005</w:t>
            </w:r>
          </w:p>
        </w:tc>
      </w:tr>
    </w:tbl>
    <w:p>
      <w:pPr>
        <w:spacing w:before="40" w:after="160"/>
        <w:jc w:val="center"/>
      </w:pPr>
      <w:r>
        <w:rPr>
          <w:rFonts w:ascii="Calibri" w:hAnsi="Calibri"/>
          <w:b w:val="0"/>
          <w:i/>
          <w:color w:val="505050"/>
          <w:sz w:val="18"/>
        </w:rPr>
        <w:t>Tableau 10 — Résultats de validation croisée 5-Fold Stratifiée (µ = moyenne, σ = écart-type sur 5 folds)</w:t>
      </w:r>
    </w:p>
    <w:p>
      <w:pPr>
        <w:spacing w:before="0" w:after="120"/>
        <w:jc w:val="both"/>
      </w:pPr>
      <w:r>
        <w:rPr>
          <w:rFonts w:ascii="Calibri" w:hAnsi="Calibri"/>
          <w:b w:val="0"/>
          <w:i w:val="0"/>
          <w:sz w:val="22"/>
        </w:rPr>
        <w:t>Les écarts-types faibles (&lt; 0,01) témoignent d'une grande stabilité pour les trois modèles. Le gap train/validation observé dans les courbes d'apprentissage reste limité (&lt; 0,05 pour XGBoost), indiquant une généralisation satisfaisante sans surapprentissage significatif.</w:t>
      </w:r>
    </w:p>
    <w:p>
      <w:pPr>
        <w:pStyle w:val="Heading2"/>
        <w:jc w:val="left"/>
      </w:pPr>
      <w:r>
        <w:rPr>
          <w:b/>
          <w:color w:val="00467F"/>
          <w:sz w:val="24"/>
        </w:rPr>
        <w:t>5.4 Importance des variables</w:t>
      </w:r>
    </w:p>
    <w:p>
      <w:pPr>
        <w:spacing w:before="0" w:after="120"/>
        <w:jc w:val="both"/>
      </w:pPr>
      <w:r>
        <w:rPr>
          <w:rFonts w:ascii="Calibri" w:hAnsi="Calibri"/>
          <w:b w:val="0"/>
          <w:i w:val="0"/>
          <w:sz w:val="22"/>
        </w:rPr>
        <w:t>Les trois modèles s'accordent sur les variables les plus prédictives de la gravité :</w:t>
      </w:r>
    </w:p>
    <w:p>
      <w:pPr>
        <w:pStyle w:val="ListBullet"/>
        <w:spacing w:after="60"/>
      </w:pPr>
      <w:r>
        <w:rPr>
          <w:rFonts w:ascii="Calibri" w:hAnsi="Calibri"/>
          <w:b w:val="0"/>
          <w:i w:val="0"/>
          <w:sz w:val="21"/>
        </w:rPr>
        <w:t>Vitesse maximale autorisée (Vitesse_num) : variable la plus importante pour Random Forest (MDI) et dans le top-3 pour XGBoost (Gain). Relation monotone : plus la vitesse est élevée, plus la probabilité de décès augmente.</w:t>
      </w:r>
    </w:p>
    <w:p>
      <w:pPr>
        <w:pStyle w:val="ListBullet"/>
        <w:spacing w:after="60"/>
      </w:pPr>
      <w:r>
        <w:rPr>
          <w:rFonts w:ascii="Calibri" w:hAnsi="Calibri"/>
          <w:b w:val="0"/>
          <w:i w:val="0"/>
          <w:sz w:val="21"/>
        </w:rPr>
        <w:t>Catégorie de route : deuxième variable en importance pour le Random Forest. Les routes nationales hors agglomération concentrent les accidents mortels.</w:t>
      </w:r>
    </w:p>
    <w:p>
      <w:pPr>
        <w:pStyle w:val="ListBullet"/>
        <w:spacing w:after="60"/>
      </w:pPr>
      <w:r>
        <w:rPr>
          <w:rFonts w:ascii="Calibri" w:hAnsi="Calibri"/>
          <w:b w:val="0"/>
          <w:i w:val="0"/>
          <w:sz w:val="21"/>
        </w:rPr>
        <w:t>Type de collision : première variable pour XGBoost (Gain). La collision frontale est la configuration la plus meurtrière.</w:t>
      </w:r>
    </w:p>
    <w:p>
      <w:pPr>
        <w:pStyle w:val="ListBullet"/>
        <w:spacing w:after="60"/>
      </w:pPr>
      <w:r>
        <w:rPr>
          <w:rFonts w:ascii="Calibri" w:hAnsi="Calibri"/>
          <w:b w:val="0"/>
          <w:i w:val="0"/>
          <w:sz w:val="21"/>
        </w:rPr>
        <w:t>Région : quatrième variable pour XGBoost — disparités géographiques marquées entre régions rurales et urbaines.</w:t>
      </w:r>
    </w:p>
    <w:p>
      <w:pPr>
        <w:pStyle w:val="ListBullet"/>
        <w:spacing w:after="60"/>
      </w:pPr>
      <w:r>
        <w:rPr>
          <w:rFonts w:ascii="Calibri" w:hAnsi="Calibri"/>
          <w:b w:val="0"/>
          <w:i w:val="0"/>
          <w:sz w:val="21"/>
        </w:rPr>
        <w:t>Luminosité et État de la surface : importance secondaire mais significative — conditions nocturnes et surfaces dégradées amplifient la gravité des accidents à haute vitesse.</w:t>
      </w:r>
    </w:p>
    <w:p>
      <w:pPr>
        <w:spacing w:before="0" w:after="120"/>
        <w:jc w:val="both"/>
      </w:pPr>
      <w:r>
        <w:rPr>
          <w:rFonts w:ascii="Calibri" w:hAnsi="Calibri"/>
          <w:b w:val="0"/>
          <w:i w:val="0"/>
          <w:sz w:val="22"/>
        </w:rPr>
        <w:t>L'analyse SHAP (SHapley Additive exPlanations) réalisée sur XGBoost permet d'expliquer individuellement chaque prédiction : la contribution marginale de chaque feature à la prédiction d'un accident spécifique est quantifiée, permettant une interprétation locale utilisable par les décideurs publics.</w:t>
      </w:r>
    </w:p>
    <w:p>
      <w:pPr>
        <w:pStyle w:val="Heading2"/>
        <w:jc w:val="left"/>
      </w:pPr>
      <w:r>
        <w:rPr>
          <w:b/>
          <w:color w:val="00467F"/>
          <w:sz w:val="24"/>
        </w:rPr>
        <w:t>5.5 Significativité statistique — Test de McNemar</w:t>
      </w:r>
    </w:p>
    <w:p>
      <w:pPr>
        <w:spacing w:before="0" w:after="120"/>
        <w:jc w:val="both"/>
      </w:pPr>
      <w:r>
        <w:rPr>
          <w:rFonts w:ascii="Calibri" w:hAnsi="Calibri"/>
          <w:b w:val="0"/>
          <w:i w:val="0"/>
          <w:sz w:val="22"/>
        </w:rPr>
        <w:t>Le test de McNemar évalue si les différences observées entre les modèles sont statistiquement significatives (H0 : les deux modèles font les mêmes erreurs) :</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spacing w:before="20" w:after="20"/>
              <w:jc w:val="center"/>
            </w:pPr>
            <w:r/>
            <w:r>
              <w:rPr>
                <w:b/>
                <w:color w:val="FFFFFF"/>
                <w:sz w:val="20"/>
              </w:rPr>
              <w:t>Comparaison</w:t>
            </w:r>
          </w:p>
        </w:tc>
        <w:tc>
          <w:tcPr>
            <w:tcW w:type="dxa" w:w="1881"/>
            <w:shd w:val="clear" w:color="auto" w:fill="1F3864"/>
          </w:tcPr>
          <w:p>
            <w:pPr>
              <w:spacing w:before="20" w:after="20"/>
              <w:jc w:val="center"/>
            </w:pPr>
            <w:r/>
            <w:r>
              <w:rPr>
                <w:b/>
                <w:color w:val="FFFFFF"/>
                <w:sz w:val="20"/>
              </w:rPr>
              <w:t>chi2</w:t>
            </w:r>
          </w:p>
        </w:tc>
        <w:tc>
          <w:tcPr>
            <w:tcW w:type="dxa" w:w="1881"/>
            <w:shd w:val="clear" w:color="auto" w:fill="1F3864"/>
          </w:tcPr>
          <w:p>
            <w:pPr>
              <w:spacing w:before="20" w:after="20"/>
              <w:jc w:val="center"/>
            </w:pPr>
            <w:r/>
            <w:r>
              <w:rPr>
                <w:b/>
                <w:color w:val="FFFFFF"/>
                <w:sz w:val="20"/>
              </w:rPr>
              <w:t>p-value</w:t>
            </w:r>
          </w:p>
        </w:tc>
        <w:tc>
          <w:tcPr>
            <w:tcW w:type="dxa" w:w="1881"/>
            <w:shd w:val="clear" w:color="auto" w:fill="1F3864"/>
          </w:tcPr>
          <w:p>
            <w:pPr>
              <w:spacing w:before="20" w:after="20"/>
              <w:jc w:val="center"/>
            </w:pPr>
            <w:r/>
            <w:r>
              <w:rPr>
                <w:b/>
                <w:color w:val="FFFFFF"/>
                <w:sz w:val="20"/>
              </w:rPr>
              <w:t>Significatif (alpha=5%)</w:t>
            </w:r>
          </w:p>
        </w:tc>
        <w:tc>
          <w:tcPr>
            <w:tcW w:type="dxa" w:w="1881"/>
            <w:shd w:val="clear" w:color="auto" w:fill="1F3864"/>
          </w:tcPr>
          <w:p>
            <w:pPr>
              <w:spacing w:before="20" w:after="20"/>
              <w:jc w:val="center"/>
            </w:pPr>
            <w:r/>
            <w:r>
              <w:rPr>
                <w:b/>
                <w:color w:val="FFFFFF"/>
                <w:sz w:val="20"/>
              </w:rPr>
              <w:t>Meilleur</w:t>
            </w:r>
          </w:p>
        </w:tc>
      </w:tr>
      <w:tr>
        <w:tc>
          <w:tcPr>
            <w:tcW w:type="dxa" w:w="1881"/>
            <w:shd w:val="clear" w:color="auto" w:fill="FFFFFF"/>
          </w:tcPr>
          <w:p>
            <w:pPr>
              <w:spacing w:before="20" w:after="20"/>
              <w:jc w:val="left"/>
            </w:pPr>
            <w:r/>
            <w:r>
              <w:rPr>
                <w:b w:val="0"/>
                <w:sz w:val="20"/>
              </w:rPr>
              <w:t>Rég. Logistique vs Random Forest</w:t>
            </w:r>
          </w:p>
        </w:tc>
        <w:tc>
          <w:tcPr>
            <w:tcW w:type="dxa" w:w="1881"/>
            <w:shd w:val="clear" w:color="auto" w:fill="FFFFFF"/>
          </w:tcPr>
          <w:p>
            <w:pPr>
              <w:spacing w:before="20" w:after="20"/>
              <w:jc w:val="center"/>
            </w:pPr>
            <w:r/>
            <w:r>
              <w:rPr>
                <w:b w:val="0"/>
                <w:sz w:val="20"/>
              </w:rPr>
              <w:t>&gt; 100</w:t>
            </w:r>
          </w:p>
        </w:tc>
        <w:tc>
          <w:tcPr>
            <w:tcW w:type="dxa" w:w="1881"/>
            <w:shd w:val="clear" w:color="auto" w:fill="FFFFFF"/>
          </w:tcPr>
          <w:p>
            <w:pPr>
              <w:spacing w:before="20" w:after="20"/>
              <w:jc w:val="center"/>
            </w:pPr>
            <w:r/>
            <w:r>
              <w:rPr>
                <w:b w:val="0"/>
                <w:sz w:val="20"/>
              </w:rPr>
              <w:t>&lt; 0,001</w:t>
            </w:r>
          </w:p>
        </w:tc>
        <w:tc>
          <w:tcPr>
            <w:tcW w:type="dxa" w:w="1881"/>
            <w:shd w:val="clear" w:color="auto" w:fill="FFFFFF"/>
          </w:tcPr>
          <w:p>
            <w:pPr>
              <w:spacing w:before="20" w:after="20"/>
              <w:jc w:val="center"/>
            </w:pPr>
            <w:r/>
            <w:r>
              <w:rPr>
                <w:b/>
                <w:color w:val="008000"/>
                <w:sz w:val="20"/>
              </w:rPr>
              <w:t>OUI</w:t>
            </w:r>
          </w:p>
        </w:tc>
        <w:tc>
          <w:tcPr>
            <w:tcW w:type="dxa" w:w="1881"/>
            <w:shd w:val="clear" w:color="auto" w:fill="FFFFFF"/>
          </w:tcPr>
          <w:p>
            <w:pPr>
              <w:spacing w:before="20" w:after="20"/>
              <w:jc w:val="center"/>
            </w:pPr>
            <w:r/>
            <w:r>
              <w:rPr>
                <w:b w:val="0"/>
                <w:sz w:val="20"/>
              </w:rPr>
              <w:t>Random Forest</w:t>
            </w:r>
          </w:p>
        </w:tc>
      </w:tr>
      <w:tr>
        <w:tc>
          <w:tcPr>
            <w:tcW w:type="dxa" w:w="1881"/>
            <w:shd w:val="clear" w:color="auto" w:fill="D9E1F2"/>
          </w:tcPr>
          <w:p>
            <w:pPr>
              <w:spacing w:before="20" w:after="20"/>
              <w:jc w:val="left"/>
            </w:pPr>
            <w:r/>
            <w:r>
              <w:rPr>
                <w:b w:val="0"/>
                <w:sz w:val="20"/>
              </w:rPr>
              <w:t>Rég. Logistique vs XGBoost</w:t>
            </w:r>
          </w:p>
        </w:tc>
        <w:tc>
          <w:tcPr>
            <w:tcW w:type="dxa" w:w="1881"/>
            <w:shd w:val="clear" w:color="auto" w:fill="D9E1F2"/>
          </w:tcPr>
          <w:p>
            <w:pPr>
              <w:spacing w:before="20" w:after="20"/>
              <w:jc w:val="center"/>
            </w:pPr>
            <w:r/>
            <w:r>
              <w:rPr>
                <w:b w:val="0"/>
                <w:sz w:val="20"/>
              </w:rPr>
              <w:t>&gt; 100</w:t>
            </w:r>
          </w:p>
        </w:tc>
        <w:tc>
          <w:tcPr>
            <w:tcW w:type="dxa" w:w="1881"/>
            <w:shd w:val="clear" w:color="auto" w:fill="D9E1F2"/>
          </w:tcPr>
          <w:p>
            <w:pPr>
              <w:spacing w:before="20" w:after="20"/>
              <w:jc w:val="center"/>
            </w:pPr>
            <w:r/>
            <w:r>
              <w:rPr>
                <w:b w:val="0"/>
                <w:sz w:val="20"/>
              </w:rPr>
              <w:t>&lt; 0,001</w:t>
            </w:r>
          </w:p>
        </w:tc>
        <w:tc>
          <w:tcPr>
            <w:tcW w:type="dxa" w:w="1881"/>
            <w:shd w:val="clear" w:color="auto" w:fill="D9E1F2"/>
          </w:tcPr>
          <w:p>
            <w:pPr>
              <w:spacing w:before="20" w:after="20"/>
              <w:jc w:val="center"/>
            </w:pPr>
            <w:r/>
            <w:r>
              <w:rPr>
                <w:b/>
                <w:color w:val="008000"/>
                <w:sz w:val="20"/>
              </w:rPr>
              <w:t>OUI</w:t>
            </w:r>
          </w:p>
        </w:tc>
        <w:tc>
          <w:tcPr>
            <w:tcW w:type="dxa" w:w="1881"/>
            <w:shd w:val="clear" w:color="auto" w:fill="D9E1F2"/>
          </w:tcPr>
          <w:p>
            <w:pPr>
              <w:spacing w:before="20" w:after="20"/>
              <w:jc w:val="center"/>
            </w:pPr>
            <w:r/>
            <w:r>
              <w:rPr>
                <w:b w:val="0"/>
                <w:sz w:val="20"/>
              </w:rPr>
              <w:t>XGBoost</w:t>
            </w:r>
          </w:p>
        </w:tc>
      </w:tr>
      <w:tr>
        <w:tc>
          <w:tcPr>
            <w:tcW w:type="dxa" w:w="1881"/>
            <w:shd w:val="clear" w:color="auto" w:fill="FFFFFF"/>
          </w:tcPr>
          <w:p>
            <w:pPr>
              <w:spacing w:before="20" w:after="20"/>
              <w:jc w:val="left"/>
            </w:pPr>
            <w:r/>
            <w:r>
              <w:rPr>
                <w:b w:val="0"/>
                <w:sz w:val="20"/>
              </w:rPr>
              <w:t>Random Forest vs XGBoost</w:t>
            </w:r>
          </w:p>
        </w:tc>
        <w:tc>
          <w:tcPr>
            <w:tcW w:type="dxa" w:w="1881"/>
            <w:shd w:val="clear" w:color="auto" w:fill="FFFFFF"/>
          </w:tcPr>
          <w:p>
            <w:pPr>
              <w:spacing w:before="20" w:after="20"/>
              <w:jc w:val="center"/>
            </w:pPr>
            <w:r/>
            <w:r>
              <w:rPr>
                <w:b w:val="0"/>
                <w:sz w:val="20"/>
              </w:rPr>
              <w:t>&gt; 10</w:t>
            </w:r>
          </w:p>
        </w:tc>
        <w:tc>
          <w:tcPr>
            <w:tcW w:type="dxa" w:w="1881"/>
            <w:shd w:val="clear" w:color="auto" w:fill="FFFFFF"/>
          </w:tcPr>
          <w:p>
            <w:pPr>
              <w:spacing w:before="20" w:after="20"/>
              <w:jc w:val="center"/>
            </w:pPr>
            <w:r/>
            <w:r>
              <w:rPr>
                <w:b w:val="0"/>
                <w:sz w:val="20"/>
              </w:rPr>
              <w:t>&lt; 0,001</w:t>
            </w:r>
          </w:p>
        </w:tc>
        <w:tc>
          <w:tcPr>
            <w:tcW w:type="dxa" w:w="1881"/>
            <w:shd w:val="clear" w:color="auto" w:fill="FFFFFF"/>
          </w:tcPr>
          <w:p>
            <w:pPr>
              <w:spacing w:before="20" w:after="20"/>
              <w:jc w:val="center"/>
            </w:pPr>
            <w:r/>
            <w:r>
              <w:rPr>
                <w:b/>
                <w:color w:val="008000"/>
                <w:sz w:val="20"/>
              </w:rPr>
              <w:t>OUI</w:t>
            </w:r>
          </w:p>
        </w:tc>
        <w:tc>
          <w:tcPr>
            <w:tcW w:type="dxa" w:w="1881"/>
            <w:shd w:val="clear" w:color="auto" w:fill="FFFFFF"/>
          </w:tcPr>
          <w:p>
            <w:pPr>
              <w:spacing w:before="20" w:after="20"/>
              <w:jc w:val="center"/>
            </w:pPr>
            <w:r/>
            <w:r>
              <w:rPr>
                <w:b w:val="0"/>
                <w:sz w:val="20"/>
              </w:rPr>
              <w:t>XGBoost</w:t>
            </w:r>
          </w:p>
        </w:tc>
      </w:tr>
    </w:tbl>
    <w:p>
      <w:pPr>
        <w:spacing w:before="40" w:after="160"/>
        <w:jc w:val="center"/>
      </w:pPr>
      <w:r>
        <w:rPr>
          <w:rFonts w:ascii="Calibri" w:hAnsi="Calibri"/>
          <w:b w:val="0"/>
          <w:i/>
          <w:color w:val="505050"/>
          <w:sz w:val="18"/>
        </w:rPr>
        <w:t>Tableau 11 — Test de McNemar (correction de Yates) — significativité des différences entre modèles</w:t>
      </w:r>
    </w:p>
    <w:p>
      <w:pPr>
        <w:spacing w:before="0" w:after="120"/>
        <w:jc w:val="both"/>
      </w:pPr>
      <w:r>
        <w:rPr>
          <w:rFonts w:ascii="Calibri" w:hAnsi="Calibri"/>
          <w:b w:val="0"/>
          <w:i w:val="0"/>
          <w:sz w:val="22"/>
        </w:rPr>
        <w:t>Tous les tests sont significatifs (p &lt;&lt; 0,05), confirmant que les différences observées ne sont pas dues au hasard. XGBoost est statistiquement meilleur que les deux autres modèles.</w:t>
      </w:r>
    </w:p>
    <w:p>
      <w:r>
        <w:br w:type="page"/>
      </w:r>
    </w:p>
    <w:p>
      <w:pPr>
        <w:pStyle w:val="Heading1"/>
        <w:jc w:val="left"/>
      </w:pPr>
      <w:r>
        <w:rPr>
          <w:b/>
          <w:color w:val="00467F"/>
          <w:sz w:val="28"/>
        </w:rPr>
        <w:t>6. Conclusion</w:t>
      </w:r>
    </w:p>
    <w:p>
      <w:pPr>
        <w:pStyle w:val="Heading2"/>
        <w:jc w:val="left"/>
      </w:pPr>
      <w:r>
        <w:rPr>
          <w:b/>
          <w:color w:val="00467F"/>
          <w:sz w:val="24"/>
        </w:rPr>
        <w:t>6.1 Synthèse des résultats</w:t>
      </w:r>
    </w:p>
    <w:p>
      <w:pPr>
        <w:spacing w:before="0" w:after="120"/>
        <w:jc w:val="both"/>
      </w:pPr>
      <w:r>
        <w:rPr>
          <w:rFonts w:ascii="Calibri" w:hAnsi="Calibri"/>
          <w:b w:val="0"/>
          <w:i w:val="0"/>
          <w:sz w:val="22"/>
        </w:rPr>
        <w:t>Ce projet a permis d'explorer, nettoyer et modéliser 54 401 accidents de la circulation routière en France (BAAC 2024) avec l'objectif de prédire automatiquement la gravité. Trois algorithmes ont été développés et comparés rigoureusement :</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spacing w:before="20" w:after="20"/>
              <w:jc w:val="center"/>
            </w:pPr>
            <w:r/>
            <w:r>
              <w:rPr>
                <w:b/>
                <w:color w:val="FFFFFF"/>
                <w:sz w:val="20"/>
              </w:rPr>
              <w:t>Modèle</w:t>
            </w:r>
          </w:p>
        </w:tc>
        <w:tc>
          <w:tcPr>
            <w:tcW w:type="dxa" w:w="1881"/>
            <w:shd w:val="clear" w:color="auto" w:fill="1F3864"/>
          </w:tcPr>
          <w:p>
            <w:pPr>
              <w:spacing w:before="20" w:after="20"/>
              <w:jc w:val="center"/>
            </w:pPr>
            <w:r/>
            <w:r>
              <w:rPr>
                <w:b/>
                <w:color w:val="FFFFFF"/>
                <w:sz w:val="20"/>
              </w:rPr>
              <w:t>Accuracy</w:t>
            </w:r>
          </w:p>
        </w:tc>
        <w:tc>
          <w:tcPr>
            <w:tcW w:type="dxa" w:w="1881"/>
            <w:shd w:val="clear" w:color="auto" w:fill="1F3864"/>
          </w:tcPr>
          <w:p>
            <w:pPr>
              <w:spacing w:before="20" w:after="20"/>
              <w:jc w:val="center"/>
            </w:pPr>
            <w:r/>
            <w:r>
              <w:rPr>
                <w:b/>
                <w:color w:val="FFFFFF"/>
                <w:sz w:val="20"/>
              </w:rPr>
              <w:t>F1 Macro</w:t>
            </w:r>
          </w:p>
        </w:tc>
        <w:tc>
          <w:tcPr>
            <w:tcW w:type="dxa" w:w="1881"/>
            <w:shd w:val="clear" w:color="auto" w:fill="1F3864"/>
          </w:tcPr>
          <w:p>
            <w:pPr>
              <w:spacing w:before="20" w:after="20"/>
              <w:jc w:val="center"/>
            </w:pPr>
            <w:r/>
            <w:r>
              <w:rPr>
                <w:b/>
                <w:color w:val="FFFFFF"/>
                <w:sz w:val="20"/>
              </w:rPr>
              <w:t>F1 Tué</w:t>
            </w:r>
          </w:p>
        </w:tc>
        <w:tc>
          <w:tcPr>
            <w:tcW w:type="dxa" w:w="1881"/>
            <w:shd w:val="clear" w:color="auto" w:fill="1F3864"/>
          </w:tcPr>
          <w:p>
            <w:pPr>
              <w:spacing w:before="20" w:after="20"/>
              <w:jc w:val="center"/>
            </w:pPr>
            <w:r/>
            <w:r>
              <w:rPr>
                <w:b/>
                <w:color w:val="FFFFFF"/>
                <w:sz w:val="20"/>
              </w:rPr>
              <w:t>Recommandation</w:t>
            </w:r>
          </w:p>
        </w:tc>
      </w:tr>
      <w:tr>
        <w:tc>
          <w:tcPr>
            <w:tcW w:type="dxa" w:w="1881"/>
            <w:shd w:val="clear" w:color="auto" w:fill="EBF5FB"/>
          </w:tcPr>
          <w:p>
            <w:pPr>
              <w:spacing w:before="20" w:after="20"/>
              <w:jc w:val="left"/>
            </w:pPr>
            <w:r/>
            <w:r>
              <w:rPr>
                <w:b w:val="0"/>
                <w:sz w:val="19"/>
              </w:rPr>
              <w:t>Régression Logistique</w:t>
            </w:r>
          </w:p>
        </w:tc>
        <w:tc>
          <w:tcPr>
            <w:tcW w:type="dxa" w:w="1881"/>
            <w:shd w:val="clear" w:color="auto" w:fill="EBF5FB"/>
          </w:tcPr>
          <w:p>
            <w:pPr>
              <w:spacing w:before="20" w:after="20"/>
              <w:jc w:val="center"/>
            </w:pPr>
            <w:r/>
            <w:r>
              <w:rPr>
                <w:b w:val="0"/>
                <w:sz w:val="19"/>
              </w:rPr>
              <w:t>57,4 %</w:t>
            </w:r>
          </w:p>
        </w:tc>
        <w:tc>
          <w:tcPr>
            <w:tcW w:type="dxa" w:w="1881"/>
            <w:shd w:val="clear" w:color="auto" w:fill="EBF5FB"/>
          </w:tcPr>
          <w:p>
            <w:pPr>
              <w:spacing w:before="20" w:after="20"/>
              <w:jc w:val="center"/>
            </w:pPr>
            <w:r/>
            <w:r>
              <w:rPr>
                <w:b w:val="0"/>
                <w:sz w:val="19"/>
              </w:rPr>
              <w:t>0,455</w:t>
            </w:r>
          </w:p>
        </w:tc>
        <w:tc>
          <w:tcPr>
            <w:tcW w:type="dxa" w:w="1881"/>
            <w:shd w:val="clear" w:color="auto" w:fill="EBF5FB"/>
          </w:tcPr>
          <w:p>
            <w:pPr>
              <w:spacing w:before="20" w:after="20"/>
              <w:jc w:val="center"/>
            </w:pPr>
            <w:r/>
            <w:r>
              <w:rPr>
                <w:b w:val="0"/>
                <w:sz w:val="19"/>
              </w:rPr>
              <w:t>0,242</w:t>
            </w:r>
          </w:p>
        </w:tc>
        <w:tc>
          <w:tcPr>
            <w:tcW w:type="dxa" w:w="1881"/>
            <w:shd w:val="clear" w:color="auto" w:fill="EBF5FB"/>
          </w:tcPr>
          <w:p>
            <w:pPr>
              <w:spacing w:before="20" w:after="20"/>
              <w:jc w:val="left"/>
            </w:pPr>
            <w:r/>
            <w:r>
              <w:rPr>
                <w:b w:val="0"/>
                <w:sz w:val="19"/>
              </w:rPr>
              <w:t>Modèle rapide et interprétable. Meilleur rappel sur les accidents mortels (60,9 %). Moins précis — génère plus de fausses alarmes.</w:t>
            </w:r>
          </w:p>
        </w:tc>
      </w:tr>
      <w:tr>
        <w:tc>
          <w:tcPr>
            <w:tcW w:type="dxa" w:w="1881"/>
            <w:shd w:val="clear" w:color="auto" w:fill="EAFAF1"/>
          </w:tcPr>
          <w:p>
            <w:pPr>
              <w:spacing w:before="20" w:after="20"/>
              <w:jc w:val="left"/>
            </w:pPr>
            <w:r/>
            <w:r>
              <w:rPr>
                <w:b w:val="0"/>
                <w:sz w:val="19"/>
              </w:rPr>
              <w:t>Random Forest</w:t>
            </w:r>
          </w:p>
        </w:tc>
        <w:tc>
          <w:tcPr>
            <w:tcW w:type="dxa" w:w="1881"/>
            <w:shd w:val="clear" w:color="auto" w:fill="EAFAF1"/>
          </w:tcPr>
          <w:p>
            <w:pPr>
              <w:spacing w:before="20" w:after="20"/>
              <w:jc w:val="center"/>
            </w:pPr>
            <w:r/>
            <w:r>
              <w:rPr>
                <w:b w:val="0"/>
                <w:sz w:val="19"/>
              </w:rPr>
              <w:t>62,5 %</w:t>
            </w:r>
          </w:p>
        </w:tc>
        <w:tc>
          <w:tcPr>
            <w:tcW w:type="dxa" w:w="1881"/>
            <w:shd w:val="clear" w:color="auto" w:fill="EAFAF1"/>
          </w:tcPr>
          <w:p>
            <w:pPr>
              <w:spacing w:before="20" w:after="20"/>
              <w:jc w:val="center"/>
            </w:pPr>
            <w:r/>
            <w:r>
              <w:rPr>
                <w:b w:val="0"/>
                <w:sz w:val="19"/>
              </w:rPr>
              <w:t>0,459</w:t>
            </w:r>
          </w:p>
        </w:tc>
        <w:tc>
          <w:tcPr>
            <w:tcW w:type="dxa" w:w="1881"/>
            <w:shd w:val="clear" w:color="auto" w:fill="EAFAF1"/>
          </w:tcPr>
          <w:p>
            <w:pPr>
              <w:spacing w:before="20" w:after="20"/>
              <w:jc w:val="center"/>
            </w:pPr>
            <w:r/>
            <w:r>
              <w:rPr>
                <w:b w:val="0"/>
                <w:sz w:val="19"/>
              </w:rPr>
              <w:t>0,177</w:t>
            </w:r>
          </w:p>
        </w:tc>
        <w:tc>
          <w:tcPr>
            <w:tcW w:type="dxa" w:w="1881"/>
            <w:shd w:val="clear" w:color="auto" w:fill="EAFAF1"/>
          </w:tcPr>
          <w:p>
            <w:pPr>
              <w:spacing w:before="20" w:after="20"/>
              <w:jc w:val="left"/>
            </w:pPr>
            <w:r/>
            <w:r>
              <w:rPr>
                <w:b w:val="0"/>
                <w:sz w:val="19"/>
              </w:rPr>
              <w:t>Meilleure stabilité sur les blessés légers/hospitalisés. Moins performant sur la classe Tué.</w:t>
            </w:r>
          </w:p>
        </w:tc>
      </w:tr>
      <w:tr>
        <w:tc>
          <w:tcPr>
            <w:tcW w:type="dxa" w:w="1881"/>
            <w:shd w:val="clear" w:color="auto" w:fill="FEF9E7"/>
          </w:tcPr>
          <w:p>
            <w:pPr>
              <w:spacing w:before="20" w:after="20"/>
              <w:jc w:val="left"/>
            </w:pPr>
            <w:r/>
            <w:r>
              <w:rPr>
                <w:b w:val="0"/>
                <w:sz w:val="19"/>
              </w:rPr>
              <w:t>XGBoost (optimisé)</w:t>
            </w:r>
          </w:p>
        </w:tc>
        <w:tc>
          <w:tcPr>
            <w:tcW w:type="dxa" w:w="1881"/>
            <w:shd w:val="clear" w:color="auto" w:fill="FEF9E7"/>
          </w:tcPr>
          <w:p>
            <w:pPr>
              <w:spacing w:before="20" w:after="20"/>
              <w:jc w:val="center"/>
            </w:pPr>
            <w:r/>
            <w:r>
              <w:rPr>
                <w:b/>
                <w:sz w:val="19"/>
              </w:rPr>
              <w:t>64,9 %</w:t>
            </w:r>
          </w:p>
        </w:tc>
        <w:tc>
          <w:tcPr>
            <w:tcW w:type="dxa" w:w="1881"/>
            <w:shd w:val="clear" w:color="auto" w:fill="FEF9E7"/>
          </w:tcPr>
          <w:p>
            <w:pPr>
              <w:spacing w:before="20" w:after="20"/>
              <w:jc w:val="center"/>
            </w:pPr>
            <w:r/>
            <w:r>
              <w:rPr>
                <w:b/>
                <w:sz w:val="19"/>
              </w:rPr>
              <w:t>0,470</w:t>
            </w:r>
          </w:p>
        </w:tc>
        <w:tc>
          <w:tcPr>
            <w:tcW w:type="dxa" w:w="1881"/>
            <w:shd w:val="clear" w:color="auto" w:fill="FEF9E7"/>
          </w:tcPr>
          <w:p>
            <w:pPr>
              <w:spacing w:before="20" w:after="20"/>
              <w:jc w:val="center"/>
            </w:pPr>
            <w:r/>
            <w:r>
              <w:rPr>
                <w:b/>
                <w:sz w:val="19"/>
              </w:rPr>
              <w:t>0,245</w:t>
            </w:r>
          </w:p>
        </w:tc>
        <w:tc>
          <w:tcPr>
            <w:tcW w:type="dxa" w:w="1881"/>
            <w:shd w:val="clear" w:color="auto" w:fill="FEF9E7"/>
          </w:tcPr>
          <w:p>
            <w:pPr>
              <w:spacing w:before="20" w:after="20"/>
              <w:jc w:val="left"/>
            </w:pPr>
            <w:r/>
            <w:r>
              <w:rPr>
                <w:b w:val="0"/>
                <w:sz w:val="19"/>
              </w:rPr>
              <w:t>Meilleur modèle global. Meilleur compromis precision/rappel sur Tué. Significativement superieur (McNemar p&lt;0,001).</w:t>
            </w:r>
          </w:p>
        </w:tc>
      </w:tr>
    </w:tbl>
    <w:p>
      <w:pPr>
        <w:spacing w:before="40" w:after="160"/>
        <w:jc w:val="center"/>
      </w:pPr>
      <w:r>
        <w:rPr>
          <w:rFonts w:ascii="Calibri" w:hAnsi="Calibri"/>
          <w:b w:val="0"/>
          <w:i/>
          <w:color w:val="505050"/>
          <w:sz w:val="18"/>
        </w:rPr>
        <w:t>Tableau 12 — Synthèse finale et recommandation par modèle</w:t>
      </w:r>
    </w:p>
    <w:p>
      <w:pPr>
        <w:pStyle w:val="Heading2"/>
        <w:jc w:val="left"/>
      </w:pPr>
      <w:r>
        <w:rPr>
          <w:b/>
          <w:color w:val="00467F"/>
          <w:sz w:val="24"/>
        </w:rPr>
        <w:t>6.2 Recommandation</w:t>
      </w:r>
    </w:p>
    <w:p>
      <w:pPr>
        <w:spacing w:before="0" w:after="120"/>
        <w:jc w:val="both"/>
      </w:pPr>
      <w:r>
        <w:rPr>
          <w:rFonts w:ascii="Calibri" w:hAnsi="Calibri"/>
          <w:b w:val="0"/>
          <w:i w:val="0"/>
          <w:sz w:val="22"/>
        </w:rPr>
        <w:t>XGBoost est recommandé comme modèle de déploiement pour les raisons suivantes :</w:t>
      </w:r>
    </w:p>
    <w:p>
      <w:pPr>
        <w:pStyle w:val="ListBullet"/>
        <w:spacing w:after="60"/>
      </w:pPr>
      <w:r>
        <w:rPr>
          <w:rFonts w:ascii="Calibri" w:hAnsi="Calibri"/>
          <w:b w:val="0"/>
          <w:i w:val="0"/>
          <w:sz w:val="21"/>
        </w:rPr>
        <w:t>Performances globales les meilleures sur tous les critères (F1 Macro, Accuracy, AUC-ROC).</w:t>
      </w:r>
    </w:p>
    <w:p>
      <w:pPr>
        <w:pStyle w:val="ListBullet"/>
        <w:spacing w:after="60"/>
      </w:pPr>
      <w:r>
        <w:rPr>
          <w:rFonts w:ascii="Calibri" w:hAnsi="Calibri"/>
          <w:b w:val="0"/>
          <w:i w:val="0"/>
          <w:sz w:val="21"/>
        </w:rPr>
        <w:t>Meilleur F1 sur la classe 'Tué' (0,245 vs 0,177 pour RF et 0,242 pour LR) avec un meilleur compromis précision/rappel.</w:t>
      </w:r>
    </w:p>
    <w:p>
      <w:pPr>
        <w:pStyle w:val="ListBullet"/>
        <w:spacing w:after="60"/>
      </w:pPr>
      <w:r>
        <w:rPr>
          <w:rFonts w:ascii="Calibri" w:hAnsi="Calibri"/>
          <w:b w:val="0"/>
          <w:i w:val="0"/>
          <w:sz w:val="21"/>
        </w:rPr>
        <w:t>Supériorité statistiquement confirmée par le test de McNemar (p &lt; 0,001 contre les deux autres modèles).</w:t>
      </w:r>
    </w:p>
    <w:p>
      <w:pPr>
        <w:pStyle w:val="ListBullet"/>
        <w:spacing w:after="60"/>
      </w:pPr>
      <w:r>
        <w:rPr>
          <w:rFonts w:ascii="Calibri" w:hAnsi="Calibri"/>
          <w:b w:val="0"/>
          <w:i w:val="0"/>
          <w:sz w:val="21"/>
        </w:rPr>
        <w:t>L'analyse SHAP permet une interprétabilité locale pour justifier chaque prédiction auprès des décideurs.</w:t>
      </w:r>
    </w:p>
    <w:p>
      <w:pPr>
        <w:spacing w:before="0" w:after="120"/>
        <w:jc w:val="both"/>
      </w:pPr>
      <w:r>
        <w:rPr>
          <w:rFonts w:ascii="Calibri" w:hAnsi="Calibri"/>
          <w:b w:val="0"/>
          <w:i w:val="0"/>
          <w:sz w:val="22"/>
        </w:rPr>
        <w:t>En contexte de sécurité routière, le choix entre précision et rappel sur la classe 'Tué' est une décision métier. Si minimiser les cas mortels manqués (faux négatifs) est prioritaire, la Régression Logistique offre un rappel de 60,9 % contre 39,9 % pour XGBoost, mais au prix d'une précision très faible (15,1 %) — beaucoup de fausses alarmes coûteuses. XGBoost offre le meilleur équilibre global (F1 Tué = 0,245).</w:t>
      </w:r>
    </w:p>
    <w:p>
      <w:pPr>
        <w:pStyle w:val="Heading2"/>
        <w:jc w:val="left"/>
      </w:pPr>
      <w:r>
        <w:rPr>
          <w:b/>
          <w:color w:val="00467F"/>
          <w:sz w:val="24"/>
        </w:rPr>
        <w:t>6.3 Limites et perspectives</w:t>
      </w:r>
    </w:p>
    <w:p>
      <w:pPr>
        <w:spacing w:before="0" w:after="120"/>
        <w:jc w:val="both"/>
      </w:pPr>
      <w:r>
        <w:rPr>
          <w:rFonts w:ascii="Calibri" w:hAnsi="Calibri"/>
          <w:b w:val="0"/>
          <w:i w:val="0"/>
          <w:sz w:val="22"/>
        </w:rPr>
        <w:t>Plusieurs limitations importantes méritent d'être soulignées :</w:t>
      </w:r>
    </w:p>
    <w:p>
      <w:pPr>
        <w:pStyle w:val="ListBullet"/>
        <w:spacing w:after="60"/>
      </w:pPr>
      <w:r>
        <w:rPr>
          <w:rFonts w:ascii="Calibri" w:hAnsi="Calibri"/>
          <w:b w:val="0"/>
          <w:i w:val="0"/>
          <w:sz w:val="21"/>
        </w:rPr>
        <w:t>Déséquilibre sévère (5,9 % de décès) : aucun modèle ne prédit bien cette classe. Des techniques comme SMOTE, Focal Loss ou des ensembles asymétriques pourraient améliorer les résultats.</w:t>
      </w:r>
    </w:p>
    <w:p>
      <w:pPr>
        <w:pStyle w:val="ListBullet"/>
        <w:spacing w:after="60"/>
      </w:pPr>
      <w:r>
        <w:rPr>
          <w:rFonts w:ascii="Calibri" w:hAnsi="Calibri"/>
          <w:b w:val="0"/>
          <w:i w:val="0"/>
          <w:sz w:val="21"/>
        </w:rPr>
        <w:t>Données BAAC : une ligne correspond à un usager et non un accident unique. Les accidents multi-victimes créent des corrélations intra-groupe non capturées par la validation croisée standard.</w:t>
      </w:r>
    </w:p>
    <w:p>
      <w:pPr>
        <w:pStyle w:val="ListBullet"/>
        <w:spacing w:after="60"/>
      </w:pPr>
      <w:r>
        <w:rPr>
          <w:rFonts w:ascii="Calibri" w:hAnsi="Calibri"/>
          <w:b w:val="0"/>
          <w:i w:val="0"/>
          <w:sz w:val="21"/>
        </w:rPr>
        <w:t>Données manquantes : 5,6 % de valeurs manquantes, concentrées sur la vitesse et le nombre de voies — variables pourtant très prédictives.</w:t>
      </w:r>
    </w:p>
    <w:p>
      <w:pPr>
        <w:pStyle w:val="ListBullet"/>
        <w:spacing w:after="60"/>
      </w:pPr>
      <w:r>
        <w:rPr>
          <w:rFonts w:ascii="Calibri" w:hAnsi="Calibri"/>
          <w:b w:val="0"/>
          <w:i w:val="0"/>
          <w:sz w:val="21"/>
        </w:rPr>
        <w:t>Absence de données comportementales : alcoolémie, port de la ceinture, usage du téléphone — facteurs majeurs absents du BAAC standard.</w:t>
      </w:r>
    </w:p>
    <w:p>
      <w:pPr>
        <w:pStyle w:val="ListBullet"/>
        <w:spacing w:after="60"/>
      </w:pPr>
      <w:r>
        <w:rPr>
          <w:rFonts w:ascii="Calibri" w:hAnsi="Calibri"/>
          <w:b w:val="0"/>
          <w:i w:val="0"/>
          <w:sz w:val="21"/>
        </w:rPr>
        <w:t>Perspectives : stacking d'ensemble (combiner LR + RF + XGB), modèles de langage pour l'interprétabilité, intégration de données météo temps-réel et de données de trafic.</w:t>
      </w:r>
    </w:p>
    <w:p>
      <w:pPr>
        <w:pStyle w:val="Heading2"/>
        <w:jc w:val="left"/>
      </w:pPr>
      <w:r>
        <w:rPr>
          <w:b/>
          <w:color w:val="00467F"/>
          <w:sz w:val="24"/>
        </w:rPr>
        <w:t>6.4 Reproductibilité</w:t>
      </w:r>
    </w:p>
    <w:p>
      <w:pPr>
        <w:spacing w:before="0" w:after="120"/>
        <w:jc w:val="both"/>
      </w:pPr>
      <w:r>
        <w:rPr>
          <w:rFonts w:ascii="Calibri" w:hAnsi="Calibri"/>
          <w:b w:val="0"/>
          <w:i w:val="0"/>
          <w:sz w:val="22"/>
        </w:rPr>
        <w:t>Tous les résultats présentés dans ce rapport sont intégralement reproductibles à partir du même jeu de données (accidents_2024.csv) en exécutant les notebooks dans l'ordre suivant :</w:t>
      </w:r>
    </w:p>
    <w:p>
      <w:pPr>
        <w:pStyle w:val="ListBullet"/>
        <w:spacing w:after="60"/>
      </w:pPr>
      <w:r>
        <w:rPr>
          <w:rFonts w:ascii="Calibri" w:hAnsi="Calibri"/>
          <w:b w:val="0"/>
          <w:i w:val="0"/>
          <w:sz w:val="21"/>
        </w:rPr>
        <w:t>nettoyage_des_donnees.ipynb — Génère X_lab_encoded.csv, X_oh_encoding.csv, y_gravite.csv</w:t>
      </w:r>
    </w:p>
    <w:p>
      <w:pPr>
        <w:pStyle w:val="ListBullet"/>
        <w:spacing w:after="60"/>
      </w:pPr>
      <w:r>
        <w:rPr>
          <w:rFonts w:ascii="Calibri" w:hAnsi="Calibri"/>
          <w:b w:val="0"/>
          <w:i w:val="0"/>
          <w:sz w:val="21"/>
        </w:rPr>
        <w:t>logistic_regression.ipynb — Analyse et évaluation de la Régression Logistique</w:t>
      </w:r>
    </w:p>
    <w:p>
      <w:pPr>
        <w:pStyle w:val="ListBullet"/>
        <w:spacing w:after="60"/>
      </w:pPr>
      <w:r>
        <w:rPr>
          <w:rFonts w:ascii="Calibri" w:hAnsi="Calibri"/>
          <w:b w:val="0"/>
          <w:i w:val="0"/>
          <w:sz w:val="21"/>
        </w:rPr>
        <w:t>random_forest.ipynb — Analyse et évaluation du Random Forest</w:t>
      </w:r>
    </w:p>
    <w:p>
      <w:pPr>
        <w:pStyle w:val="ListBullet"/>
        <w:spacing w:after="60"/>
      </w:pPr>
      <w:r>
        <w:rPr>
          <w:rFonts w:ascii="Calibri" w:hAnsi="Calibri"/>
          <w:b w:val="0"/>
          <w:i w:val="0"/>
          <w:sz w:val="21"/>
        </w:rPr>
        <w:t>analyse_xgboost.ipynb — Analyse avancée de XGBoost (tuning, calibration, SHAP)</w:t>
      </w:r>
    </w:p>
    <w:p>
      <w:pPr>
        <w:pStyle w:val="ListBullet"/>
        <w:spacing w:after="60"/>
      </w:pPr>
      <w:r>
        <w:rPr>
          <w:rFonts w:ascii="Calibri" w:hAnsi="Calibri"/>
          <w:b w:val="0"/>
          <w:i w:val="0"/>
          <w:sz w:val="21"/>
        </w:rPr>
        <w:t>comparaison_modeles.ipynb — Comparaison unifiée des trois modèles (random_state=42 partout)</w:t>
      </w:r>
    </w:p>
    <w:p>
      <w:pPr>
        <w:spacing w:before="0" w:after="120"/>
        <w:jc w:val="both"/>
      </w:pPr>
      <w:r>
        <w:rPr>
          <w:rFonts w:ascii="Calibri" w:hAnsi="Calibri"/>
          <w:b w:val="0"/>
          <w:i w:val="0"/>
          <w:sz w:val="22"/>
        </w:rPr>
        <w:t>Les hyperparamètres optimaux sont documentés dans chaque notebook. L'environnement d'exécution : Python 3.x, scikit-learn, xgboost, pandas, numpy, matplotlib, seaborn, statsmodels, shap.</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