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  <w:lang w:eastAsia="zh-CN"/>
        </w:rPr>
        <w:t>安防</w:t>
      </w:r>
      <w:r>
        <w:rPr>
          <w:rFonts w:hint="eastAsia"/>
          <w:color w:val="auto"/>
          <w:sz w:val="36"/>
          <w:szCs w:val="36"/>
        </w:rPr>
        <w:t>详细设计</w:t>
      </w:r>
    </w:p>
    <w:p>
      <w:pPr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编制:管双林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日期:2017-07-</w:t>
      </w:r>
      <w:r>
        <w:rPr>
          <w:rFonts w:hint="eastAsia"/>
          <w:color w:val="auto"/>
          <w:sz w:val="28"/>
          <w:szCs w:val="28"/>
          <w:lang w:val="en-US" w:eastAsia="zh-CN"/>
        </w:rPr>
        <w:t>12</w:t>
      </w:r>
    </w:p>
    <w:p>
      <w:pPr>
        <w:rPr>
          <w:color w:val="auto"/>
        </w:rPr>
      </w:pPr>
      <w:r>
        <w:rPr>
          <w:rFonts w:hint="eastAsia"/>
          <w:color w:val="auto"/>
        </w:rPr>
        <w:t>修订记录</w:t>
      </w:r>
      <w:r>
        <w:rPr>
          <w:color w:val="auto"/>
        </w:rP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2017/07/07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初稿</w:t>
            </w:r>
          </w:p>
        </w:tc>
      </w:tr>
    </w:tbl>
    <w:p>
      <w:pPr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</w:p>
    <w:p>
      <w:pPr>
        <w:jc w:val="center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auto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separate"/>
      </w: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_Toc12447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_Toc12447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_Toc26633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lang w:eastAsia="zh-CN"/>
        </w:rPr>
        <w:t>布撤防</w:t>
      </w:r>
      <w:r>
        <w:tab/>
      </w:r>
      <w:r>
        <w:fldChar w:fldCharType="begin"/>
      </w:r>
      <w:r>
        <w:instrText xml:space="preserve"> PAGEREF _Toc26633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_Toc8356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室内机给管理中心发送布撤防信息</w:t>
      </w:r>
      <w:r>
        <w:tab/>
      </w:r>
      <w:r>
        <w:fldChar w:fldCharType="begin"/>
      </w:r>
      <w:r>
        <w:instrText xml:space="preserve"> PAGEREF _Toc8356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_Toc26298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2.2 布撤防状态查询</w:t>
      </w:r>
      <w:r>
        <w:tab/>
      </w:r>
      <w:r>
        <w:fldChar w:fldCharType="begin"/>
      </w:r>
      <w:r>
        <w:instrText xml:space="preserve"> PAGEREF _Toc26298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_Toc24436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eastAsia="zh-CN"/>
        </w:rPr>
        <w:t>安防报警</w:t>
      </w:r>
      <w:r>
        <w:tab/>
      </w:r>
      <w:r>
        <w:fldChar w:fldCharType="begin"/>
      </w:r>
      <w:r>
        <w:instrText xml:space="preserve"> PAGEREF _Toc24436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_Toc1092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eastAsia="zh-CN"/>
        </w:rPr>
        <w:t>报警源</w:t>
      </w:r>
      <w:r>
        <w:tab/>
      </w:r>
      <w:r>
        <w:fldChar w:fldCharType="begin"/>
      </w:r>
      <w:r>
        <w:instrText xml:space="preserve"> PAGEREF _Toc1092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_Toc22794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 </w:t>
      </w:r>
      <w:r>
        <w:rPr>
          <w:rFonts w:hint="eastAsia"/>
          <w:lang w:eastAsia="zh-CN"/>
        </w:rPr>
        <w:t>报警内容</w:t>
      </w:r>
      <w:r>
        <w:tab/>
      </w:r>
      <w:r>
        <w:fldChar w:fldCharType="begin"/>
      </w:r>
      <w:r>
        <w:instrText xml:space="preserve"> PAGEREF _Toc22794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_Toc137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lang w:eastAsia="zh-CN"/>
        </w:rPr>
        <w:t>报警处理</w:t>
      </w:r>
      <w:r>
        <w:tab/>
      </w:r>
      <w:r>
        <w:fldChar w:fldCharType="begin"/>
      </w:r>
      <w:r>
        <w:instrText xml:space="preserve"> PAGEREF _Toc137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_Toc2635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eastAsia="zh-CN"/>
        </w:rPr>
        <w:t>报警记录查询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_Toc22330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 xml:space="preserve">4. </w:t>
      </w:r>
      <w:r>
        <w:rPr>
          <w:rFonts w:hint="eastAsia"/>
          <w:lang w:eastAsia="zh-CN"/>
        </w:rPr>
        <w:t>门禁报警</w:t>
      </w:r>
      <w:r>
        <w:tab/>
      </w:r>
      <w:r>
        <w:fldChar w:fldCharType="begin"/>
      </w:r>
      <w:r>
        <w:instrText xml:space="preserve"> PAGEREF _Toc22330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_Toc12537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 </w:t>
      </w:r>
      <w:r>
        <w:rPr>
          <w:rFonts w:hint="eastAsia"/>
          <w:lang w:eastAsia="zh-CN"/>
        </w:rPr>
        <w:t>门禁报警分类</w:t>
      </w:r>
      <w:r>
        <w:tab/>
      </w:r>
      <w:r>
        <w:fldChar w:fldCharType="begin"/>
      </w:r>
      <w:r>
        <w:instrText xml:space="preserve"> PAGEREF _Toc12537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_Toc9347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.2 </w:t>
      </w:r>
      <w:r>
        <w:rPr>
          <w:rFonts w:hint="eastAsia"/>
          <w:lang w:eastAsia="zh-CN"/>
        </w:rPr>
        <w:t>门禁记录</w:t>
      </w:r>
      <w:r>
        <w:rPr>
          <w:rFonts w:hint="eastAsia"/>
        </w:rPr>
        <w:t>查询</w:t>
      </w:r>
      <w:r>
        <w:tab/>
      </w:r>
      <w:r>
        <w:fldChar w:fldCharType="begin"/>
      </w:r>
      <w:r>
        <w:instrText xml:space="preserve"> PAGEREF _Toc9347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ascii="宋体" w:hAnsi="宋体"/>
          <w:b/>
          <w:smallCaps/>
          <w:color w:val="auto"/>
          <w:sz w:val="32"/>
          <w:szCs w:val="32"/>
        </w:rPr>
      </w:pP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color w:val="auto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0" w:name="_Toc12447"/>
      <w:bookmarkStart w:id="1" w:name="_Toc255291065"/>
      <w:r>
        <w:rPr>
          <w:rFonts w:hint="eastAsia"/>
          <w:color w:val="auto"/>
        </w:rPr>
        <w:t>概述</w:t>
      </w:r>
      <w:bookmarkEnd w:id="0"/>
      <w:bookmarkEnd w:id="1"/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文档说明server版管理中心</w:t>
      </w:r>
      <w:r>
        <w:rPr>
          <w:rFonts w:hint="eastAsia"/>
          <w:color w:val="auto"/>
          <w:lang w:eastAsia="zh-CN"/>
        </w:rPr>
        <w:t>安防的业务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eastAsia="zh-CN"/>
        </w:rPr>
        <w:t>安防包括</w:t>
      </w:r>
      <w:r>
        <w:rPr>
          <w:rFonts w:hint="eastAsia"/>
          <w:color w:val="auto"/>
        </w:rPr>
        <w:t>：</w:t>
      </w:r>
      <w:r>
        <w:rPr>
          <w:rFonts w:hint="eastAsia"/>
          <w:color w:val="auto"/>
          <w:lang w:eastAsia="zh-CN"/>
        </w:rPr>
        <w:t>布撤防信息、报警信息（安防报警和门禁报警）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eastAsia="zh-CN"/>
        </w:rPr>
        <w:t>参考：报警数据传输(管理中心).docx；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2" w:name="_Toc26633"/>
      <w:r>
        <w:rPr>
          <w:rFonts w:hint="eastAsia"/>
          <w:color w:val="auto"/>
          <w:lang w:eastAsia="zh-CN"/>
        </w:rPr>
        <w:t>布撤防</w:t>
      </w:r>
      <w:bookmarkEnd w:id="2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3" w:name="_Toc8356"/>
      <w:r>
        <w:rPr>
          <w:rFonts w:hint="eastAsia"/>
          <w:color w:val="auto"/>
        </w:rPr>
        <w:t xml:space="preserve">2.1 </w:t>
      </w:r>
      <w:r>
        <w:rPr>
          <w:rFonts w:hint="eastAsia"/>
          <w:color w:val="auto"/>
          <w:lang w:eastAsia="zh-CN"/>
        </w:rPr>
        <w:t>室内机给管理中心发送布撤防信息</w:t>
      </w:r>
      <w:bookmarkEnd w:id="3"/>
    </w:p>
    <w:p>
      <w:pPr>
        <w:ind w:left="420" w:firstLine="420"/>
        <w:rPr>
          <w:rFonts w:hint="eastAsia"/>
          <w:color w:val="auto"/>
        </w:rPr>
      </w:pPr>
      <w:r>
        <w:rPr>
          <w:rFonts w:hint="eastAsia"/>
          <w:color w:val="auto"/>
          <w:lang w:eastAsia="zh-CN"/>
        </w:rPr>
        <w:t>室内机给管理中心发送布撤防信息，管理中心保存布撤防状态及布撤防记录</w:t>
      </w:r>
      <w:r>
        <w:rPr>
          <w:rFonts w:hint="eastAsia"/>
          <w:color w:val="auto"/>
        </w:rPr>
        <w:t>。</w:t>
      </w:r>
    </w:p>
    <w:p>
      <w:pPr>
        <w:pStyle w:val="4"/>
        <w:numPr>
          <w:ilvl w:val="1"/>
          <w:numId w:val="0"/>
        </w:numPr>
        <w:ind w:leftChars="100" w:firstLine="281" w:firstLineChars="100"/>
        <w:rPr>
          <w:rFonts w:hint="eastAsia"/>
          <w:lang w:val="en-US" w:eastAsia="zh-CN"/>
        </w:rPr>
      </w:pPr>
      <w:bookmarkStart w:id="4" w:name="_Toc26298"/>
      <w:r>
        <w:rPr>
          <w:rFonts w:hint="eastAsia"/>
          <w:lang w:val="en-US" w:eastAsia="zh-CN"/>
        </w:rPr>
        <w:t>2.2 布撤防状态查询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可以按栋、单元、室查询住户的布撤防状态。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5" w:name="_Toc24436"/>
      <w:r>
        <w:rPr>
          <w:rFonts w:hint="eastAsia"/>
          <w:color w:val="auto"/>
          <w:lang w:eastAsia="zh-CN"/>
        </w:rPr>
        <w:t>安防报警</w:t>
      </w:r>
      <w:bookmarkEnd w:id="5"/>
    </w:p>
    <w:p>
      <w:pPr>
        <w:pStyle w:val="4"/>
        <w:numPr>
          <w:ilvl w:val="1"/>
          <w:numId w:val="0"/>
        </w:numPr>
        <w:spacing w:before="312" w:after="156"/>
        <w:ind w:left="402"/>
        <w:rPr>
          <w:rFonts w:hint="eastAsia"/>
          <w:color w:val="auto"/>
          <w:lang w:eastAsia="zh-CN"/>
        </w:rPr>
      </w:pPr>
      <w:bookmarkStart w:id="6" w:name="_Toc1092"/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  <w:lang w:eastAsia="zh-CN"/>
        </w:rPr>
        <w:t>报警源</w:t>
      </w:r>
      <w:bookmarkEnd w:id="6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报警源有三种：室内机、扩展安防、独立安防。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rFonts w:hint="eastAsia"/>
          <w:color w:val="auto"/>
          <w:lang w:eastAsia="zh-CN"/>
        </w:rPr>
      </w:pPr>
      <w:bookmarkStart w:id="7" w:name="_Toc22794"/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  <w:lang w:eastAsia="zh-CN"/>
        </w:rPr>
        <w:t>报警内容</w:t>
      </w:r>
      <w:bookmarkEnd w:id="7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报警信息包括：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报警名称</w:t>
      </w:r>
      <w:r>
        <w:rPr>
          <w:rFonts w:hint="eastAsia"/>
          <w:lang w:eastAsia="zh-CN"/>
        </w:rPr>
        <w:t>：</w:t>
      </w:r>
      <w:r>
        <w:rPr>
          <w:rFonts w:hint="eastAsia"/>
        </w:rPr>
        <w:t>00-逻辑事件防区, 01-紧急按钮，02-煤气烟感，03-门磁窗磁，04-红外探头，05-门磁，06-窗磁，07-红外，08-烟感，09-紧急按钮，10-火警，11-溢水，12-对射红外，</w:t>
      </w:r>
      <w:r>
        <w:rPr>
          <w:rFonts w:hint="eastAsia"/>
          <w:lang w:val="en-US" w:eastAsia="zh-CN"/>
        </w:rPr>
        <w:t>13-防拆报警，14-欠压报警，15-市电报警，</w:t>
      </w:r>
      <w:r>
        <w:rPr>
          <w:rFonts w:hint="eastAsia"/>
        </w:rPr>
        <w:t>99-其他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事件类型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独立防区时,内容为空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逻辑防区时,分4种情况:1. 逻辑事件防区的名称, 逻辑事件的备注</w:t>
      </w:r>
      <w:r>
        <w:rPr>
          <w:rFonts w:hint="eastAsia"/>
          <w:lang w:eastAsia="zh-CN"/>
        </w:rPr>
        <w:t>，</w:t>
      </w:r>
      <w:r>
        <w:rPr>
          <w:rFonts w:hint="eastAsia"/>
        </w:rPr>
        <w:t>2. 逻辑事件防区的名称</w:t>
      </w:r>
      <w:r>
        <w:rPr>
          <w:rFonts w:hint="eastAsia"/>
          <w:lang w:eastAsia="zh-CN"/>
        </w:rPr>
        <w:t>，</w:t>
      </w:r>
      <w:r>
        <w:rPr>
          <w:rFonts w:hint="eastAsia"/>
        </w:rPr>
        <w:t>3. 逻辑事件的备注</w:t>
      </w:r>
      <w:r>
        <w:rPr>
          <w:rFonts w:hint="eastAsia"/>
          <w:lang w:eastAsia="zh-CN"/>
        </w:rPr>
        <w:t>，</w:t>
      </w:r>
      <w:r>
        <w:rPr>
          <w:rFonts w:hint="eastAsia"/>
        </w:rPr>
        <w:t>4.内容为空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 独立安防：防区为逻辑防区时，事件类型为逻辑事件描述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防区类型 : （01-全天、02-立即、03-延时、04-逻辑）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</w:pPr>
      <w:r>
        <w:rPr>
          <w:rFonts w:hint="eastAsia"/>
        </w:rPr>
        <w:t>端口号/防区编号 :  基本防区传端口号:JPIO口端口号</w:t>
      </w:r>
    </w:p>
    <w:p>
      <w:r>
        <w:rPr>
          <w:rFonts w:hint="eastAsia"/>
        </w:rPr>
        <w:t xml:space="preserve">                  扩展防区传防区编号:0~63防区编号,0-31逻辑事件防区编号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              独立控制器传防区编号:0~7防区编号, 0-3逻辑事件防区编号</w:t>
      </w:r>
    </w:p>
    <w:p>
      <w:pPr>
        <w:ind w:left="420" w:leftChars="0" w:firstLine="420" w:firstLineChars="0"/>
      </w:pPr>
      <w:r>
        <w:rPr>
          <w:rFonts w:hint="eastAsia"/>
        </w:rPr>
        <w:t>等级:分为三个等级,  一级（01）紧急按钮、煤气烟感、火警，其他，二级（02）门磁窗磁、溢水，三级（03）红外探头、红外、对射红外</w:t>
      </w:r>
      <w:r>
        <w:t xml:space="preserve"> 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rFonts w:hint="eastAsia"/>
          <w:color w:val="auto"/>
          <w:lang w:val="en-US" w:eastAsia="zh-CN"/>
        </w:rPr>
      </w:pPr>
      <w:bookmarkStart w:id="8" w:name="_Toc137"/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 xml:space="preserve">2 </w:t>
      </w:r>
      <w:r>
        <w:rPr>
          <w:rFonts w:hint="eastAsia"/>
          <w:color w:val="auto"/>
          <w:lang w:eastAsia="zh-CN"/>
        </w:rPr>
        <w:t>报警处理</w:t>
      </w:r>
      <w:bookmarkEnd w:id="8"/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每个管理中心客户端都会收到报警信息。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收到报警后为报警状态：有报警音，任务栏有提示，界面会弹框，小区地图上将在对应的地方有图标闪烁，首页显示临时报警记录。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收到报警后，根据不同的报警等级有不同的报警提示音。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收到报警后，将报警信息发送到对应门卫机。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管理中心处理报警后，报警状态解除。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通过临时报警记录，可以查看详情，详情包括：位置、户主姓名，联系方式、照片，可以回拨至室内机。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可以对未经处理的报警进行删除。</w:t>
      </w:r>
    </w:p>
    <w:p>
      <w:pPr>
        <w:widowControl w:val="0"/>
        <w:numPr>
          <w:ilvl w:val="0"/>
          <w:numId w:val="0"/>
        </w:numPr>
        <w:spacing w:after="200" w:line="276" w:lineRule="auto"/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增加对报警处理同步的解决方案。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登陆时显示当天未被处理的报警、</w:t>
      </w:r>
      <w:r>
        <w:rPr>
          <w:rFonts w:hint="eastAsia"/>
          <w:color w:val="FF0000"/>
          <w:lang w:val="en-US" w:eastAsia="zh-CN"/>
        </w:rPr>
        <w:t>增加退出时提示有未被处理的报警。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首页报警记录不</w:t>
      </w:r>
      <w:bookmarkStart w:id="13" w:name="_GoBack"/>
      <w:bookmarkEnd w:id="13"/>
      <w:r>
        <w:rPr>
          <w:rFonts w:hint="eastAsia"/>
          <w:color w:val="FF0000"/>
          <w:lang w:val="en-US" w:eastAsia="zh-CN"/>
        </w:rPr>
        <w:t>自动删除。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rFonts w:hint="eastAsia"/>
          <w:color w:val="auto"/>
          <w:lang w:eastAsia="zh-CN"/>
        </w:rPr>
      </w:pPr>
      <w:bookmarkStart w:id="9" w:name="_Toc2635"/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.</w:t>
      </w:r>
      <w:r>
        <w:rPr>
          <w:rFonts w:hint="eastAsia"/>
          <w:color w:val="auto"/>
          <w:lang w:val="en-US" w:eastAsia="zh-CN"/>
        </w:rPr>
        <w:t xml:space="preserve">3 </w:t>
      </w:r>
      <w:r>
        <w:rPr>
          <w:rFonts w:hint="eastAsia"/>
          <w:color w:val="auto"/>
          <w:lang w:eastAsia="zh-CN"/>
        </w:rPr>
        <w:t>报警记录查询</w:t>
      </w:r>
      <w:bookmarkEnd w:id="9"/>
    </w:p>
    <w:p>
      <w:pPr>
        <w:ind w:left="420" w:leftChars="0" w:firstLine="420" w:firstLineChars="0"/>
        <w:rPr>
          <w:color w:val="auto"/>
        </w:rPr>
      </w:pPr>
      <w:r>
        <w:rPr>
          <w:rFonts w:hint="eastAsia"/>
          <w:color w:val="auto"/>
          <w:lang w:eastAsia="zh-CN"/>
        </w:rPr>
        <w:t>可以</w:t>
      </w:r>
      <w:r>
        <w:rPr>
          <w:rFonts w:hint="eastAsia"/>
          <w:color w:val="auto"/>
        </w:rPr>
        <w:t>按</w:t>
      </w:r>
      <w:r>
        <w:rPr>
          <w:rFonts w:hint="eastAsia"/>
          <w:color w:val="auto"/>
          <w:lang w:eastAsia="zh-CN"/>
        </w:rPr>
        <w:t>住户的</w:t>
      </w:r>
      <w:r>
        <w:rPr>
          <w:rFonts w:hint="eastAsia"/>
          <w:color w:val="auto"/>
        </w:rPr>
        <w:t>栋、单元、</w:t>
      </w:r>
      <w:r>
        <w:rPr>
          <w:rFonts w:hint="eastAsia"/>
          <w:color w:val="auto"/>
          <w:sz w:val="24"/>
        </w:rPr>
        <w:t>室</w:t>
      </w:r>
      <w:r>
        <w:rPr>
          <w:rFonts w:hint="eastAsia"/>
          <w:color w:val="auto"/>
          <w:lang w:eastAsia="zh-CN"/>
        </w:rPr>
        <w:t>进行</w:t>
      </w:r>
      <w:r>
        <w:rPr>
          <w:rFonts w:hint="eastAsia"/>
          <w:color w:val="auto"/>
        </w:rPr>
        <w:t>查询</w:t>
      </w:r>
      <w:r>
        <w:rPr>
          <w:rFonts w:hint="eastAsia"/>
          <w:color w:val="auto"/>
          <w:lang w:eastAsia="zh-CN"/>
        </w:rPr>
        <w:t>报警记录或布撤防信息。也可以对报警记录和布撤防记录进行混合查询。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</w:rPr>
      </w:pPr>
      <w:bookmarkStart w:id="10" w:name="_Toc22330"/>
      <w:r>
        <w:rPr>
          <w:rFonts w:hint="eastAsia"/>
          <w:color w:val="auto"/>
          <w:lang w:eastAsia="zh-CN"/>
        </w:rPr>
        <w:t>门禁报警</w:t>
      </w:r>
      <w:bookmarkEnd w:id="10"/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1" w:name="_Toc12537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  <w:lang w:eastAsia="zh-CN"/>
        </w:rPr>
        <w:t>门禁报警分类</w:t>
      </w:r>
      <w:bookmarkEnd w:id="11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13-刷卡报警，14-蓝牙报警，15-在线二维码报警,16-离线二维码报警，17-密码报警，</w:t>
      </w:r>
      <w:r>
        <w:rPr>
          <w:rFonts w:hint="eastAsia"/>
          <w:lang w:val="en-US" w:eastAsia="zh-CN"/>
        </w:rPr>
        <w:t>18-入户门口机报警，19-门禁超时报警，20-门口机防拆报警。</w:t>
      </w:r>
    </w:p>
    <w:p>
      <w:pPr>
        <w:pStyle w:val="4"/>
        <w:numPr>
          <w:ilvl w:val="1"/>
          <w:numId w:val="0"/>
        </w:numPr>
        <w:spacing w:before="312" w:after="156"/>
        <w:ind w:left="402"/>
        <w:rPr>
          <w:color w:val="auto"/>
        </w:rPr>
      </w:pPr>
      <w:bookmarkStart w:id="12" w:name="_Toc9347"/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  <w:lang w:eastAsia="zh-CN"/>
        </w:rPr>
        <w:t>门禁记录</w:t>
      </w:r>
      <w:r>
        <w:rPr>
          <w:rFonts w:hint="eastAsia"/>
          <w:color w:val="auto"/>
        </w:rPr>
        <w:t>查询</w:t>
      </w:r>
      <w:bookmarkEnd w:id="12"/>
    </w:p>
    <w:p>
      <w:pPr>
        <w:ind w:left="420" w:firstLine="42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可以</w:t>
      </w:r>
      <w:r>
        <w:rPr>
          <w:rFonts w:hint="eastAsia"/>
          <w:color w:val="auto"/>
        </w:rPr>
        <w:t>按</w:t>
      </w:r>
      <w:r>
        <w:rPr>
          <w:rFonts w:hint="eastAsia"/>
          <w:color w:val="auto"/>
          <w:lang w:eastAsia="zh-CN"/>
        </w:rPr>
        <w:t>住户的</w:t>
      </w:r>
      <w:r>
        <w:rPr>
          <w:rFonts w:hint="eastAsia"/>
          <w:color w:val="auto"/>
        </w:rPr>
        <w:t>栋、单元、</w:t>
      </w:r>
      <w:r>
        <w:rPr>
          <w:rFonts w:hint="eastAsia"/>
          <w:color w:val="auto"/>
          <w:sz w:val="24"/>
        </w:rPr>
        <w:t>室</w:t>
      </w:r>
      <w:r>
        <w:rPr>
          <w:rFonts w:hint="eastAsia"/>
          <w:color w:val="auto"/>
        </w:rPr>
        <w:t>或</w:t>
      </w:r>
      <w:r>
        <w:rPr>
          <w:rFonts w:hint="eastAsia"/>
          <w:color w:val="auto"/>
          <w:lang w:eastAsia="zh-CN"/>
        </w:rPr>
        <w:t>门口机的栋、单元、号进行</w:t>
      </w:r>
      <w:r>
        <w:rPr>
          <w:rFonts w:hint="eastAsia"/>
          <w:color w:val="auto"/>
        </w:rPr>
        <w:t>查询</w:t>
      </w:r>
      <w:r>
        <w:rPr>
          <w:rFonts w:hint="eastAsia"/>
          <w:color w:val="auto"/>
          <w:lang w:eastAsia="zh-CN"/>
        </w:rPr>
        <w:t>门禁记录。门禁记录包括正常的开门记录和上述的门禁报警记录。</w:t>
      </w:r>
    </w:p>
    <w:p>
      <w:pPr>
        <w:pStyle w:val="4"/>
        <w:numPr>
          <w:ilvl w:val="1"/>
          <w:numId w:val="0"/>
        </w:numPr>
        <w:ind w:leftChars="100" w:firstLine="28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门禁报警推送</w:t>
      </w:r>
    </w:p>
    <w:p>
      <w:pPr>
        <w:ind w:left="42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门禁报警触发后，管理中心会给对应门卫机发送门禁报警信息。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96611CD"/>
    <w:multiLevelType w:val="singleLevel"/>
    <w:tmpl w:val="596611C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04511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3F6FCC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0038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8335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3BFE"/>
    <w:rsid w:val="00E74468"/>
    <w:rsid w:val="00E74B30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1A1575"/>
    <w:rsid w:val="0126241E"/>
    <w:rsid w:val="016A6360"/>
    <w:rsid w:val="01A62CE6"/>
    <w:rsid w:val="01F138A6"/>
    <w:rsid w:val="02165C33"/>
    <w:rsid w:val="03B307E4"/>
    <w:rsid w:val="040D4B4F"/>
    <w:rsid w:val="042D37FC"/>
    <w:rsid w:val="0438342C"/>
    <w:rsid w:val="04450978"/>
    <w:rsid w:val="0449584B"/>
    <w:rsid w:val="044F016C"/>
    <w:rsid w:val="04831902"/>
    <w:rsid w:val="04922492"/>
    <w:rsid w:val="054E0F1D"/>
    <w:rsid w:val="057E5577"/>
    <w:rsid w:val="05921D6A"/>
    <w:rsid w:val="063B5C0C"/>
    <w:rsid w:val="064346C6"/>
    <w:rsid w:val="07323AB0"/>
    <w:rsid w:val="074F4BF7"/>
    <w:rsid w:val="07DE1350"/>
    <w:rsid w:val="08BE7D85"/>
    <w:rsid w:val="08E94780"/>
    <w:rsid w:val="0943364F"/>
    <w:rsid w:val="09520511"/>
    <w:rsid w:val="09B33A12"/>
    <w:rsid w:val="09D958A9"/>
    <w:rsid w:val="09EB7AFF"/>
    <w:rsid w:val="09ED0131"/>
    <w:rsid w:val="0A8F38A6"/>
    <w:rsid w:val="0ADD5033"/>
    <w:rsid w:val="0AE91CE3"/>
    <w:rsid w:val="0B2B296C"/>
    <w:rsid w:val="0BBF05C9"/>
    <w:rsid w:val="0C3442DE"/>
    <w:rsid w:val="0C3B4576"/>
    <w:rsid w:val="0CD21708"/>
    <w:rsid w:val="0CEC69C1"/>
    <w:rsid w:val="0D59025C"/>
    <w:rsid w:val="0DB96486"/>
    <w:rsid w:val="0DBD2DF4"/>
    <w:rsid w:val="0DEB515B"/>
    <w:rsid w:val="0DF24567"/>
    <w:rsid w:val="0E4E7C35"/>
    <w:rsid w:val="0EA24F48"/>
    <w:rsid w:val="0F1F2F4C"/>
    <w:rsid w:val="0F6B292E"/>
    <w:rsid w:val="100D39FF"/>
    <w:rsid w:val="10740695"/>
    <w:rsid w:val="10BE0BDF"/>
    <w:rsid w:val="11C02667"/>
    <w:rsid w:val="12007103"/>
    <w:rsid w:val="121353F3"/>
    <w:rsid w:val="132E3F09"/>
    <w:rsid w:val="136A3778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770737"/>
    <w:rsid w:val="1712297E"/>
    <w:rsid w:val="172A0BE2"/>
    <w:rsid w:val="17A02D24"/>
    <w:rsid w:val="17BA24E0"/>
    <w:rsid w:val="17D16DEC"/>
    <w:rsid w:val="17DB13F0"/>
    <w:rsid w:val="17E401E5"/>
    <w:rsid w:val="180D4A2E"/>
    <w:rsid w:val="18363646"/>
    <w:rsid w:val="185A40AA"/>
    <w:rsid w:val="188C32AD"/>
    <w:rsid w:val="19AE7276"/>
    <w:rsid w:val="19B00A1F"/>
    <w:rsid w:val="19D4436C"/>
    <w:rsid w:val="1A563640"/>
    <w:rsid w:val="1A5F54E9"/>
    <w:rsid w:val="1A70481E"/>
    <w:rsid w:val="1AC61FE6"/>
    <w:rsid w:val="1AD9776C"/>
    <w:rsid w:val="1B8C7780"/>
    <w:rsid w:val="1C574BE9"/>
    <w:rsid w:val="1C603F81"/>
    <w:rsid w:val="1C9527DD"/>
    <w:rsid w:val="1CFB0D53"/>
    <w:rsid w:val="1D6D3BD2"/>
    <w:rsid w:val="1DE92D3D"/>
    <w:rsid w:val="1DFB3F59"/>
    <w:rsid w:val="1F183E3E"/>
    <w:rsid w:val="1FD145B6"/>
    <w:rsid w:val="1FEF2C2D"/>
    <w:rsid w:val="20974FDD"/>
    <w:rsid w:val="20B8668D"/>
    <w:rsid w:val="2197485A"/>
    <w:rsid w:val="21A042D0"/>
    <w:rsid w:val="21DF5B15"/>
    <w:rsid w:val="22BF46F8"/>
    <w:rsid w:val="234418AE"/>
    <w:rsid w:val="236D6062"/>
    <w:rsid w:val="23C96F01"/>
    <w:rsid w:val="23D41CB6"/>
    <w:rsid w:val="243F05EE"/>
    <w:rsid w:val="24A852DD"/>
    <w:rsid w:val="2512670D"/>
    <w:rsid w:val="254F76CD"/>
    <w:rsid w:val="25832416"/>
    <w:rsid w:val="25BC060A"/>
    <w:rsid w:val="25E02205"/>
    <w:rsid w:val="263A3D46"/>
    <w:rsid w:val="267A21D9"/>
    <w:rsid w:val="2682068C"/>
    <w:rsid w:val="26833C9E"/>
    <w:rsid w:val="26A740CF"/>
    <w:rsid w:val="26F312E3"/>
    <w:rsid w:val="27877A85"/>
    <w:rsid w:val="278A0DBA"/>
    <w:rsid w:val="278C100E"/>
    <w:rsid w:val="2851238E"/>
    <w:rsid w:val="29314DCA"/>
    <w:rsid w:val="2A1E2A3C"/>
    <w:rsid w:val="2A3A420B"/>
    <w:rsid w:val="2A6C60FD"/>
    <w:rsid w:val="2A8B2F0C"/>
    <w:rsid w:val="2AAD0547"/>
    <w:rsid w:val="2ABF5AB6"/>
    <w:rsid w:val="2ADB6C9A"/>
    <w:rsid w:val="2AF00C57"/>
    <w:rsid w:val="2B2B459F"/>
    <w:rsid w:val="2B42172E"/>
    <w:rsid w:val="2B56543E"/>
    <w:rsid w:val="2C4027FF"/>
    <w:rsid w:val="2C46627B"/>
    <w:rsid w:val="2C467DDE"/>
    <w:rsid w:val="2C6B7E6B"/>
    <w:rsid w:val="2C8E1529"/>
    <w:rsid w:val="2D1E37DE"/>
    <w:rsid w:val="2D3138E2"/>
    <w:rsid w:val="2D5073BC"/>
    <w:rsid w:val="2DC44EDC"/>
    <w:rsid w:val="2E205E26"/>
    <w:rsid w:val="2EB7174C"/>
    <w:rsid w:val="2EB80454"/>
    <w:rsid w:val="2EE156D7"/>
    <w:rsid w:val="2F30459A"/>
    <w:rsid w:val="2FAA740A"/>
    <w:rsid w:val="2FE445E1"/>
    <w:rsid w:val="3038551D"/>
    <w:rsid w:val="30911AF0"/>
    <w:rsid w:val="30AA5BC2"/>
    <w:rsid w:val="30B1477B"/>
    <w:rsid w:val="32087FC7"/>
    <w:rsid w:val="32331EDB"/>
    <w:rsid w:val="327E73A0"/>
    <w:rsid w:val="32D851C3"/>
    <w:rsid w:val="33142E6C"/>
    <w:rsid w:val="33BB333E"/>
    <w:rsid w:val="343D7EDB"/>
    <w:rsid w:val="353108B5"/>
    <w:rsid w:val="35A662D9"/>
    <w:rsid w:val="362A70FE"/>
    <w:rsid w:val="3671738C"/>
    <w:rsid w:val="36773358"/>
    <w:rsid w:val="36A524E9"/>
    <w:rsid w:val="36F44BB6"/>
    <w:rsid w:val="3724730B"/>
    <w:rsid w:val="37AB56F7"/>
    <w:rsid w:val="37E426CA"/>
    <w:rsid w:val="37F95E2E"/>
    <w:rsid w:val="394B1E00"/>
    <w:rsid w:val="39702E7F"/>
    <w:rsid w:val="39767953"/>
    <w:rsid w:val="39D24D53"/>
    <w:rsid w:val="3A073CF5"/>
    <w:rsid w:val="3A6E7919"/>
    <w:rsid w:val="3AB371CC"/>
    <w:rsid w:val="3B0E2A26"/>
    <w:rsid w:val="3B796A92"/>
    <w:rsid w:val="3BAE4B61"/>
    <w:rsid w:val="3BC864D3"/>
    <w:rsid w:val="3BFB165F"/>
    <w:rsid w:val="3CB80052"/>
    <w:rsid w:val="3CC77B6B"/>
    <w:rsid w:val="3D50791A"/>
    <w:rsid w:val="3D572380"/>
    <w:rsid w:val="3E506458"/>
    <w:rsid w:val="3E6B6F4D"/>
    <w:rsid w:val="3EA64DBC"/>
    <w:rsid w:val="3F1F5870"/>
    <w:rsid w:val="401564D5"/>
    <w:rsid w:val="404C6C99"/>
    <w:rsid w:val="40763E11"/>
    <w:rsid w:val="407A3D86"/>
    <w:rsid w:val="414E4DFC"/>
    <w:rsid w:val="41DD5DF4"/>
    <w:rsid w:val="424B742F"/>
    <w:rsid w:val="426D1D88"/>
    <w:rsid w:val="4270218B"/>
    <w:rsid w:val="43566316"/>
    <w:rsid w:val="43B96868"/>
    <w:rsid w:val="43DB68EF"/>
    <w:rsid w:val="44617AD9"/>
    <w:rsid w:val="44D864AF"/>
    <w:rsid w:val="451C00F0"/>
    <w:rsid w:val="458D1162"/>
    <w:rsid w:val="45B77CA0"/>
    <w:rsid w:val="45C721AB"/>
    <w:rsid w:val="45E11ED0"/>
    <w:rsid w:val="46BA6A1C"/>
    <w:rsid w:val="471A288D"/>
    <w:rsid w:val="47232D7A"/>
    <w:rsid w:val="4725473F"/>
    <w:rsid w:val="47391DAD"/>
    <w:rsid w:val="474E2962"/>
    <w:rsid w:val="475F20C0"/>
    <w:rsid w:val="47A91B92"/>
    <w:rsid w:val="47C15781"/>
    <w:rsid w:val="47FF5D2B"/>
    <w:rsid w:val="48896A9B"/>
    <w:rsid w:val="48AA5CBC"/>
    <w:rsid w:val="490321E5"/>
    <w:rsid w:val="493F446D"/>
    <w:rsid w:val="496746F7"/>
    <w:rsid w:val="4995098E"/>
    <w:rsid w:val="49A81B9E"/>
    <w:rsid w:val="4A2E5C98"/>
    <w:rsid w:val="4A8007AC"/>
    <w:rsid w:val="4AF91448"/>
    <w:rsid w:val="4AF95430"/>
    <w:rsid w:val="4B806A2D"/>
    <w:rsid w:val="4BFA7FBF"/>
    <w:rsid w:val="4C011A7D"/>
    <w:rsid w:val="4C0B0870"/>
    <w:rsid w:val="4CDA2E46"/>
    <w:rsid w:val="4CF90D63"/>
    <w:rsid w:val="4D5F5B12"/>
    <w:rsid w:val="4D9D5EA7"/>
    <w:rsid w:val="4DD56B55"/>
    <w:rsid w:val="4DEE4622"/>
    <w:rsid w:val="4DF01A24"/>
    <w:rsid w:val="4E676BEC"/>
    <w:rsid w:val="4E8621BB"/>
    <w:rsid w:val="4F1B23D9"/>
    <w:rsid w:val="4F991C73"/>
    <w:rsid w:val="517B6F50"/>
    <w:rsid w:val="518870C3"/>
    <w:rsid w:val="51C660DF"/>
    <w:rsid w:val="51DE20FB"/>
    <w:rsid w:val="520568B0"/>
    <w:rsid w:val="521B3148"/>
    <w:rsid w:val="52B8704C"/>
    <w:rsid w:val="52C145EB"/>
    <w:rsid w:val="533B1B7F"/>
    <w:rsid w:val="534926BB"/>
    <w:rsid w:val="539804F1"/>
    <w:rsid w:val="53BD5666"/>
    <w:rsid w:val="54CB652A"/>
    <w:rsid w:val="55320C1D"/>
    <w:rsid w:val="55590D8A"/>
    <w:rsid w:val="555C7057"/>
    <w:rsid w:val="558B5884"/>
    <w:rsid w:val="55C95253"/>
    <w:rsid w:val="5815306E"/>
    <w:rsid w:val="581E6BF5"/>
    <w:rsid w:val="590451C8"/>
    <w:rsid w:val="593D00FA"/>
    <w:rsid w:val="599A28BE"/>
    <w:rsid w:val="59FB5985"/>
    <w:rsid w:val="5A2C2A38"/>
    <w:rsid w:val="5A3559DE"/>
    <w:rsid w:val="5A497C63"/>
    <w:rsid w:val="5B0739D4"/>
    <w:rsid w:val="5B1179AB"/>
    <w:rsid w:val="5B1E655F"/>
    <w:rsid w:val="5B50118C"/>
    <w:rsid w:val="5B912EED"/>
    <w:rsid w:val="5BDB67F4"/>
    <w:rsid w:val="5C61641E"/>
    <w:rsid w:val="5C7074F5"/>
    <w:rsid w:val="5CB458D1"/>
    <w:rsid w:val="5D664287"/>
    <w:rsid w:val="5D9F4307"/>
    <w:rsid w:val="5E1B58E5"/>
    <w:rsid w:val="5E7C5AB8"/>
    <w:rsid w:val="5F5848A0"/>
    <w:rsid w:val="5F6F2754"/>
    <w:rsid w:val="5FA84F69"/>
    <w:rsid w:val="5FA8714D"/>
    <w:rsid w:val="5FF145F6"/>
    <w:rsid w:val="5FF24857"/>
    <w:rsid w:val="6035768E"/>
    <w:rsid w:val="60934242"/>
    <w:rsid w:val="615C662A"/>
    <w:rsid w:val="616071BD"/>
    <w:rsid w:val="616578DA"/>
    <w:rsid w:val="61DC7C7E"/>
    <w:rsid w:val="61FB30BE"/>
    <w:rsid w:val="621A7DF6"/>
    <w:rsid w:val="62553F37"/>
    <w:rsid w:val="62DC7770"/>
    <w:rsid w:val="63000B8B"/>
    <w:rsid w:val="635B7CA0"/>
    <w:rsid w:val="637522F7"/>
    <w:rsid w:val="63AE2DBE"/>
    <w:rsid w:val="63DF2CED"/>
    <w:rsid w:val="641543DE"/>
    <w:rsid w:val="649D34F1"/>
    <w:rsid w:val="655B1B02"/>
    <w:rsid w:val="65FF60BF"/>
    <w:rsid w:val="6631157B"/>
    <w:rsid w:val="668E6EB7"/>
    <w:rsid w:val="66DD6836"/>
    <w:rsid w:val="68C86657"/>
    <w:rsid w:val="693F1AA1"/>
    <w:rsid w:val="69A200B6"/>
    <w:rsid w:val="69BD00D2"/>
    <w:rsid w:val="69EC513B"/>
    <w:rsid w:val="6A8240ED"/>
    <w:rsid w:val="6A880D4F"/>
    <w:rsid w:val="6A9D1570"/>
    <w:rsid w:val="6AAB6CFB"/>
    <w:rsid w:val="6ACC2E43"/>
    <w:rsid w:val="6B01167E"/>
    <w:rsid w:val="6C6F32C9"/>
    <w:rsid w:val="6C8A31C4"/>
    <w:rsid w:val="6D1E603F"/>
    <w:rsid w:val="6D2117B3"/>
    <w:rsid w:val="6D83420C"/>
    <w:rsid w:val="6D92675A"/>
    <w:rsid w:val="6DA732D8"/>
    <w:rsid w:val="6E002268"/>
    <w:rsid w:val="6E231985"/>
    <w:rsid w:val="6E6A49E1"/>
    <w:rsid w:val="6ED95E88"/>
    <w:rsid w:val="6EDA4CEE"/>
    <w:rsid w:val="6F244FD2"/>
    <w:rsid w:val="6F564F08"/>
    <w:rsid w:val="6F6E1749"/>
    <w:rsid w:val="6F7B2B0C"/>
    <w:rsid w:val="6FF95C30"/>
    <w:rsid w:val="70261A98"/>
    <w:rsid w:val="70394ADE"/>
    <w:rsid w:val="706F2BF3"/>
    <w:rsid w:val="70C80A66"/>
    <w:rsid w:val="712D7121"/>
    <w:rsid w:val="713501E8"/>
    <w:rsid w:val="714B1971"/>
    <w:rsid w:val="72086B36"/>
    <w:rsid w:val="72225C54"/>
    <w:rsid w:val="72666385"/>
    <w:rsid w:val="729E789B"/>
    <w:rsid w:val="73251668"/>
    <w:rsid w:val="733219D8"/>
    <w:rsid w:val="73E11B17"/>
    <w:rsid w:val="73EC6342"/>
    <w:rsid w:val="747B1E1B"/>
    <w:rsid w:val="747F05E7"/>
    <w:rsid w:val="74AB593B"/>
    <w:rsid w:val="74C2731D"/>
    <w:rsid w:val="75055E22"/>
    <w:rsid w:val="758B290E"/>
    <w:rsid w:val="768D363E"/>
    <w:rsid w:val="769C5D84"/>
    <w:rsid w:val="76AA163F"/>
    <w:rsid w:val="76AC26AB"/>
    <w:rsid w:val="77942DFF"/>
    <w:rsid w:val="781949C8"/>
    <w:rsid w:val="786B28E3"/>
    <w:rsid w:val="798210A7"/>
    <w:rsid w:val="79956F6D"/>
    <w:rsid w:val="79D56928"/>
    <w:rsid w:val="7A520E9C"/>
    <w:rsid w:val="7A7D0828"/>
    <w:rsid w:val="7AEF2DB6"/>
    <w:rsid w:val="7B127E63"/>
    <w:rsid w:val="7B731838"/>
    <w:rsid w:val="7C055BA2"/>
    <w:rsid w:val="7C224F35"/>
    <w:rsid w:val="7C3E6341"/>
    <w:rsid w:val="7C4C0F08"/>
    <w:rsid w:val="7CF5430B"/>
    <w:rsid w:val="7DF74BD6"/>
    <w:rsid w:val="7E0169D7"/>
    <w:rsid w:val="7E634B7A"/>
    <w:rsid w:val="7E786FFB"/>
    <w:rsid w:val="7EC84F46"/>
    <w:rsid w:val="7F19522F"/>
    <w:rsid w:val="7F1B37C2"/>
    <w:rsid w:val="7F3D4B26"/>
    <w:rsid w:val="7F424B19"/>
    <w:rsid w:val="7F5F59C1"/>
    <w:rsid w:val="7F7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jc w:val="left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numPr>
        <w:ilvl w:val="1"/>
        <w:numId w:val="2"/>
      </w:numPr>
      <w:tabs>
        <w:tab w:val="left" w:pos="720"/>
      </w:tabs>
      <w:spacing w:before="100" w:beforeLines="100" w:after="50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6189EE-6526-43C7-8227-9D95099BDF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609</Words>
  <Characters>3475</Characters>
  <Lines>28</Lines>
  <Paragraphs>8</Paragraphs>
  <ScaleCrop>false</ScaleCrop>
  <LinksUpToDate>false</LinksUpToDate>
  <CharactersWithSpaces>4076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2017-07-20T12:02:33Z</dcterms:modified>
  <dc:title>项目名称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