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Product scope and feature validation</w:t>
      </w:r>
    </w:p>
    <w:p>
      <w:pPr>
        <w:pStyle w:val="Title"/>
      </w:pPr>
      <w:r>
        <w:rPr>
          <w:b w:val="0"/>
        </w:rPr>
        <w:t>StewardLab</w:t>
      </w:r>
    </w:p>
    <w:p>
      <w:pPr/>
      <w:r>
        <w:rPr>
          <w:b/>
        </w:rPr>
        <w:t>Evolution-Aware Antibiotic Strategy Evaluation</w:t>
      </w:r>
      <w:r>
        <w:br/>
      </w:r>
      <w:r>
        <w:rPr>
          <w:b w:val="0"/>
        </w:rPr>
        <w:t>Final Technical Product Report | BSc Software Engineering</w:t>
      </w:r>
    </w:p>
    <w:p>
      <w:pPr/>
      <w:r>
        <w:rPr>
          <w:b/>
        </w:rPr>
        <w:t>Anjeline Noel Odero</w:t>
      </w:r>
      <w:r>
        <w:rPr>
          <w:b w:val="0"/>
        </w:rPr>
        <w:t xml:space="preserve"> | Supervisor: Dirac Murairi | 24 October 2026</w:t>
      </w:r>
      <w:r>
        <w:br/>
      </w:r>
      <w:r>
        <w:rPr>
          <w:b w:val="0"/>
        </w:rPr>
        <w:t>Repository baseline: 42fdd0e | https://github.com/noel-odero/Capstone-101</w:t>
      </w:r>
    </w:p>
    <w:p>
      <w:pPr/>
      <w:r>
        <w:rPr>
          <w:b w:val="0"/>
        </w:rPr>
        <w:t>StewardLab integrates reinforcement learning with an interactive research workbench for exploring antibiotic sequences in a simplified E. coli resistance environment. Users record labeled samples, compare frozen PPO and DQN policies with a random susceptible-action baseline, and inspect stored trajectories and evidence. The product is locally operational. It does not diagnose, prescribe or predict patient outcomes.</w:t>
      </w:r>
    </w:p>
    <w:p>
      <w:pPr>
        <w:pStyle w:val="Heading2"/>
      </w:pPr>
      <w:r>
        <w:rPr>
          <w:b w:val="0"/>
        </w:rPr>
        <w:t>Alignment with the approved proposal [1]</w:t>
      </w:r>
    </w:p>
    <w:tbl>
      <w:tblPr>
        <w:tblW w:type="auto" w:w="0"/>
        <w:jc w:val="left"/>
        <w:tblLayout w:type="fixed"/>
        <w:tblLook w:firstColumn="1" w:firstRow="1" w:lastColumn="0" w:lastRow="0" w:noHBand="0" w:noVBand="1" w:val="04A0"/>
      </w:tblPr>
      <w:tblGrid>
        <w:gridCol w:w="2100"/>
        <w:gridCol w:w="2060"/>
        <w:gridCol w:w="1380"/>
        <w:gridCol w:w="4600"/>
      </w:tblGrid>
      <w:tr>
        <w:trPr>
          <w:cantSplit/>
        </w:trPr>
        <w:tc>
          <w:tcPr>
            <w:tcW w:type="dxa" w:w="2100"/>
            <w:vAlign w:val="top"/>
            <w:shd w:fill="174B5C"/>
            <w:tcMar>
              <w:top w:w="85" w:type="dxa"/>
              <w:bottom w:w="85" w:type="dxa"/>
              <w:left w:w="110" w:type="dxa"/>
              <w:right w:w="110" w:type="dxa"/>
            </w:tcMar>
          </w:tcPr>
          <w:p>
            <w:pPr>
              <w:spacing w:after="0" w:line="208" w:lineRule="exact"/>
            </w:pPr>
            <w:r>
              <w:rPr>
                <w:rFonts w:ascii="Arial" w:hAnsi="Arial"/>
                <w:b/>
                <w:color w:val="FFFFFF"/>
                <w:sz w:val="16"/>
              </w:rPr>
              <w:t>Planned feature</w:t>
            </w:r>
          </w:p>
        </w:tc>
        <w:tc>
          <w:tcPr>
            <w:tcW w:type="dxa" w:w="2060"/>
            <w:vAlign w:val="top"/>
            <w:shd w:fill="174B5C"/>
            <w:tcMar>
              <w:top w:w="85" w:type="dxa"/>
              <w:bottom w:w="85" w:type="dxa"/>
              <w:left w:w="110" w:type="dxa"/>
              <w:right w:w="110" w:type="dxa"/>
            </w:tcMar>
          </w:tcPr>
          <w:p>
            <w:pPr>
              <w:spacing w:after="0" w:line="208" w:lineRule="exact"/>
            </w:pPr>
            <w:r>
              <w:rPr>
                <w:rFonts w:ascii="Arial" w:hAnsi="Arial"/>
                <w:b/>
                <w:color w:val="FFFFFF"/>
                <w:sz w:val="16"/>
              </w:rPr>
              <w:t>Intended purpose</w:t>
            </w:r>
          </w:p>
        </w:tc>
        <w:tc>
          <w:tcPr>
            <w:tcW w:type="dxa" w:w="1380"/>
            <w:vAlign w:val="top"/>
            <w:shd w:fill="174B5C"/>
            <w:tcMar>
              <w:top w:w="85" w:type="dxa"/>
              <w:bottom w:w="85" w:type="dxa"/>
              <w:left w:w="110" w:type="dxa"/>
              <w:right w:w="110" w:type="dxa"/>
            </w:tcMar>
          </w:tcPr>
          <w:p>
            <w:pPr>
              <w:spacing w:after="0" w:line="208" w:lineRule="exact"/>
            </w:pPr>
            <w:r>
              <w:rPr>
                <w:rFonts w:ascii="Arial" w:hAnsi="Arial"/>
                <w:b/>
                <w:color w:val="FFFFFF"/>
                <w:sz w:val="16"/>
              </w:rPr>
              <w:t>Status</w:t>
            </w:r>
          </w:p>
        </w:tc>
        <w:tc>
          <w:tcPr>
            <w:tcW w:type="dxa" w:w="4600"/>
            <w:vAlign w:val="top"/>
            <w:shd w:fill="174B5C"/>
            <w:tcMar>
              <w:top w:w="85" w:type="dxa"/>
              <w:bottom w:w="85" w:type="dxa"/>
              <w:left w:w="110" w:type="dxa"/>
              <w:right w:w="110" w:type="dxa"/>
            </w:tcMar>
          </w:tcPr>
          <w:p>
            <w:pPr>
              <w:spacing w:after="0" w:line="208" w:lineRule="exact"/>
            </w:pPr>
            <w:r>
              <w:rPr>
                <w:rFonts w:ascii="Arial" w:hAnsi="Arial"/>
                <w:b/>
                <w:color w:val="FFFFFF"/>
                <w:sz w:val="16"/>
              </w:rPr>
              <w:t>Implementation evidence / qualification</w:t>
            </w:r>
          </w:p>
        </w:tc>
      </w:tr>
      <w:tr>
        <w:trPr>
          <w:cantSplit/>
        </w:trPr>
        <w:tc>
          <w:tcPr>
            <w:tcW w:type="dxa" w:w="2100"/>
            <w:vAlign w:val="top"/>
            <w:shd w:fill="FFFFFF"/>
            <w:tcMar>
              <w:top w:w="85" w:type="dxa"/>
              <w:bottom w:w="85" w:type="dxa"/>
              <w:left w:w="110" w:type="dxa"/>
              <w:right w:w="110" w:type="dxa"/>
            </w:tcMar>
          </w:tcPr>
          <w:p>
            <w:pPr>
              <w:spacing w:after="0" w:line="208" w:lineRule="exact"/>
            </w:pPr>
            <w:r>
              <w:rPr>
                <w:rFonts w:ascii="Arial" w:hAnsi="Arial"/>
                <w:b w:val="0"/>
                <w:sz w:val="16"/>
              </w:rPr>
              <w:t>Resistance environment</w:t>
            </w:r>
          </w:p>
        </w:tc>
        <w:tc>
          <w:tcPr>
            <w:tcW w:type="dxa" w:w="2060"/>
            <w:vAlign w:val="top"/>
            <w:shd w:fill="FFFFFF"/>
            <w:tcMar>
              <w:top w:w="85" w:type="dxa"/>
              <w:bottom w:w="85" w:type="dxa"/>
              <w:left w:w="110" w:type="dxa"/>
              <w:right w:w="110" w:type="dxa"/>
            </w:tcMar>
          </w:tcPr>
          <w:p>
            <w:pPr>
              <w:spacing w:after="0" w:line="208" w:lineRule="exact"/>
            </w:pPr>
            <w:r>
              <w:rPr>
                <w:rFonts w:ascii="Arial" w:hAnsi="Arial"/>
                <w:b w:val="0"/>
                <w:sz w:val="16"/>
              </w:rPr>
              <w:t>Represent sequential changes</w:t>
            </w:r>
          </w:p>
        </w:tc>
        <w:tc>
          <w:tcPr>
            <w:tcW w:type="dxa" w:w="1380"/>
            <w:vAlign w:val="top"/>
            <w:shd w:fill="FFFFFF"/>
            <w:tcMar>
              <w:top w:w="85" w:type="dxa"/>
              <w:bottom w:w="85" w:type="dxa"/>
              <w:left w:w="110" w:type="dxa"/>
              <w:right w:w="110" w:type="dxa"/>
            </w:tcMar>
          </w:tcPr>
          <w:p>
            <w:pPr>
              <w:spacing w:after="0" w:line="208" w:lineRule="exact"/>
            </w:pPr>
            <w:r>
              <w:rPr>
                <w:rFonts w:ascii="Arial" w:hAnsi="Arial"/>
                <w:b w:val="0"/>
                <w:sz w:val="16"/>
              </w:rPr>
              <w:t>Completed*</w:t>
            </w:r>
          </w:p>
        </w:tc>
        <w:tc>
          <w:tcPr>
            <w:tcW w:type="dxa" w:w="4600"/>
            <w:vAlign w:val="top"/>
            <w:shd w:fill="FFFFFF"/>
            <w:tcMar>
              <w:top w:w="85" w:type="dxa"/>
              <w:bottom w:w="85" w:type="dxa"/>
              <w:left w:w="110" w:type="dxa"/>
              <w:right w:w="110" w:type="dxa"/>
            </w:tcMar>
          </w:tcPr>
          <w:p>
            <w:pPr>
              <w:spacing w:after="0" w:line="208" w:lineRule="exact"/>
            </w:pPr>
            <w:r>
              <w:rPr>
                <w:rFonts w:ascii="Arial" w:hAnsi="Arial"/>
                <w:b w:val="0"/>
                <w:sz w:val="16"/>
              </w:rPr>
              <w:t>simulation/: seven resistance bits, actions, stochastic transitions and reward.</w:t>
            </w:r>
          </w:p>
        </w:tc>
      </w:tr>
      <w:tr>
        <w:trPr>
          <w:cantSplit/>
        </w:trPr>
        <w:tc>
          <w:tcPr>
            <w:tcW w:type="dxa" w:w="2100"/>
            <w:vAlign w:val="top"/>
            <w:shd w:fill="F1F5F7"/>
            <w:tcMar>
              <w:top w:w="85" w:type="dxa"/>
              <w:bottom w:w="85" w:type="dxa"/>
              <w:left w:w="110" w:type="dxa"/>
              <w:right w:w="110" w:type="dxa"/>
            </w:tcMar>
          </w:tcPr>
          <w:p>
            <w:pPr>
              <w:spacing w:after="0" w:line="208" w:lineRule="exact"/>
            </w:pPr>
            <w:r>
              <w:rPr>
                <w:rFonts w:ascii="Arial" w:hAnsi="Arial"/>
                <w:b w:val="0"/>
                <w:sz w:val="16"/>
              </w:rPr>
              <w:t>Trained PPO + baseline</w:t>
            </w:r>
          </w:p>
        </w:tc>
        <w:tc>
          <w:tcPr>
            <w:tcW w:type="dxa" w:w="2060"/>
            <w:vAlign w:val="top"/>
            <w:shd w:fill="F1F5F7"/>
            <w:tcMar>
              <w:top w:w="85" w:type="dxa"/>
              <w:bottom w:w="85" w:type="dxa"/>
              <w:left w:w="110" w:type="dxa"/>
              <w:right w:w="110" w:type="dxa"/>
            </w:tcMar>
          </w:tcPr>
          <w:p>
            <w:pPr>
              <w:spacing w:after="0" w:line="208" w:lineRule="exact"/>
            </w:pPr>
            <w:r>
              <w:rPr>
                <w:rFonts w:ascii="Arial" w:hAnsi="Arial"/>
                <w:b w:val="0"/>
                <w:sz w:val="16"/>
              </w:rPr>
              <w:t>Compare sequential strategies</w:t>
            </w:r>
          </w:p>
        </w:tc>
        <w:tc>
          <w:tcPr>
            <w:tcW w:type="dxa" w:w="1380"/>
            <w:vAlign w:val="top"/>
            <w:shd w:fill="F1F5F7"/>
            <w:tcMar>
              <w:top w:w="85" w:type="dxa"/>
              <w:bottom w:w="85" w:type="dxa"/>
              <w:left w:w="110" w:type="dxa"/>
              <w:right w:w="110" w:type="dxa"/>
            </w:tcMar>
          </w:tcPr>
          <w:p>
            <w:pPr>
              <w:spacing w:after="0" w:line="208" w:lineRule="exact"/>
            </w:pPr>
            <w:r>
              <w:rPr>
                <w:rFonts w:ascii="Arial" w:hAnsi="Arial"/>
                <w:b w:val="0"/>
                <w:sz w:val="16"/>
              </w:rPr>
              <w:t>Completed</w:t>
            </w:r>
          </w:p>
        </w:tc>
        <w:tc>
          <w:tcPr>
            <w:tcW w:type="dxa" w:w="4600"/>
            <w:vAlign w:val="top"/>
            <w:shd w:fill="F1F5F7"/>
            <w:tcMar>
              <w:top w:w="85" w:type="dxa"/>
              <w:bottom w:w="85" w:type="dxa"/>
              <w:left w:w="110" w:type="dxa"/>
              <w:right w:w="110" w:type="dxa"/>
            </w:tcMar>
          </w:tcPr>
          <w:p>
            <w:pPr>
              <w:spacing w:after="0" w:line="208" w:lineRule="exact"/>
            </w:pPr>
            <w:r>
              <w:rPr>
                <w:rFonts w:ascii="Arial" w:hAnsi="Arial"/>
                <w:b w:val="0"/>
                <w:sz w:val="16"/>
              </w:rPr>
              <w:t>ml/ and artifacts/frozen/public-data-v2/; DQN is an additional comparator.</w:t>
            </w:r>
          </w:p>
        </w:tc>
      </w:tr>
      <w:tr>
        <w:trPr>
          <w:cantSplit/>
        </w:trPr>
        <w:tc>
          <w:tcPr>
            <w:tcW w:type="dxa" w:w="2100"/>
            <w:vAlign w:val="top"/>
            <w:shd w:fill="FFFFFF"/>
            <w:tcMar>
              <w:top w:w="85" w:type="dxa"/>
              <w:bottom w:w="85" w:type="dxa"/>
              <w:left w:w="110" w:type="dxa"/>
              <w:right w:w="110" w:type="dxa"/>
            </w:tcMar>
          </w:tcPr>
          <w:p>
            <w:pPr>
              <w:spacing w:after="0" w:line="208" w:lineRule="exact"/>
            </w:pPr>
            <w:r>
              <w:rPr>
                <w:rFonts w:ascii="Arial" w:hAnsi="Arial"/>
                <w:b w:val="0"/>
                <w:sz w:val="16"/>
              </w:rPr>
              <w:t>Susceptibility input</w:t>
            </w:r>
          </w:p>
        </w:tc>
        <w:tc>
          <w:tcPr>
            <w:tcW w:type="dxa" w:w="2060"/>
            <w:vAlign w:val="top"/>
            <w:shd w:fill="FFFFFF"/>
            <w:tcMar>
              <w:top w:w="85" w:type="dxa"/>
              <w:bottom w:w="85" w:type="dxa"/>
              <w:left w:w="110" w:type="dxa"/>
              <w:right w:w="110" w:type="dxa"/>
            </w:tcMar>
          </w:tcPr>
          <w:p>
            <w:pPr>
              <w:spacing w:after="0" w:line="208" w:lineRule="exact"/>
            </w:pPr>
            <w:r>
              <w:rPr>
                <w:rFonts w:ascii="Arial" w:hAnsi="Arial"/>
                <w:b w:val="0"/>
                <w:sz w:val="16"/>
              </w:rPr>
              <w:t>Define the starting profile</w:t>
            </w:r>
          </w:p>
        </w:tc>
        <w:tc>
          <w:tcPr>
            <w:tcW w:type="dxa" w:w="1380"/>
            <w:vAlign w:val="top"/>
            <w:shd w:fill="FFFFFF"/>
            <w:tcMar>
              <w:top w:w="85" w:type="dxa"/>
              <w:bottom w:w="85" w:type="dxa"/>
              <w:left w:w="110" w:type="dxa"/>
              <w:right w:w="110" w:type="dxa"/>
            </w:tcMar>
          </w:tcPr>
          <w:p>
            <w:pPr>
              <w:spacing w:after="0" w:line="208" w:lineRule="exact"/>
            </w:pPr>
            <w:r>
              <w:rPr>
                <w:rFonts w:ascii="Arial" w:hAnsi="Arial"/>
                <w:b w:val="0"/>
                <w:sz w:val="16"/>
              </w:rPr>
              <w:t>Completed</w:t>
            </w:r>
          </w:p>
        </w:tc>
        <w:tc>
          <w:tcPr>
            <w:tcW w:type="dxa" w:w="4600"/>
            <w:vAlign w:val="top"/>
            <w:shd w:fill="FFFFFF"/>
            <w:tcMar>
              <w:top w:w="85" w:type="dxa"/>
              <w:bottom w:w="85" w:type="dxa"/>
              <w:left w:w="110" w:type="dxa"/>
              <w:right w:w="110" w:type="dxa"/>
            </w:tcMar>
          </w:tcPr>
          <w:p>
            <w:pPr>
              <w:spacing w:after="0" w:line="208" w:lineRule="exact"/>
            </w:pPr>
            <w:r>
              <w:rPr>
                <w:rFonts w:ascii="Arial" w:hAnsi="Arial"/>
                <w:b w:val="0"/>
                <w:sz w:val="16"/>
              </w:rPr>
              <w:t>frontend/src/features/simulation/ and samples/: validated switches and saved labels.</w:t>
            </w:r>
          </w:p>
        </w:tc>
      </w:tr>
      <w:tr>
        <w:trPr>
          <w:cantSplit/>
        </w:trPr>
        <w:tc>
          <w:tcPr>
            <w:tcW w:type="dxa" w:w="2100"/>
            <w:vAlign w:val="top"/>
            <w:shd w:fill="F1F5F7"/>
            <w:tcMar>
              <w:top w:w="85" w:type="dxa"/>
              <w:bottom w:w="85" w:type="dxa"/>
              <w:left w:w="110" w:type="dxa"/>
              <w:right w:w="110" w:type="dxa"/>
            </w:tcMar>
          </w:tcPr>
          <w:p>
            <w:pPr>
              <w:spacing w:after="0" w:line="208" w:lineRule="exact"/>
            </w:pPr>
            <w:r>
              <w:rPr>
                <w:rFonts w:ascii="Arial" w:hAnsi="Arial"/>
                <w:b w:val="0"/>
                <w:sz w:val="16"/>
              </w:rPr>
              <w:t>Prior treatment-history input</w:t>
            </w:r>
          </w:p>
        </w:tc>
        <w:tc>
          <w:tcPr>
            <w:tcW w:type="dxa" w:w="2060"/>
            <w:vAlign w:val="top"/>
            <w:shd w:fill="F1F5F7"/>
            <w:tcMar>
              <w:top w:w="85" w:type="dxa"/>
              <w:bottom w:w="85" w:type="dxa"/>
              <w:left w:w="110" w:type="dxa"/>
              <w:right w:w="110" w:type="dxa"/>
            </w:tcMar>
          </w:tcPr>
          <w:p>
            <w:pPr>
              <w:spacing w:after="0" w:line="208" w:lineRule="exact"/>
            </w:pPr>
            <w:r>
              <w:rPr>
                <w:rFonts w:ascii="Arial" w:hAnsi="Arial"/>
                <w:b w:val="0"/>
                <w:sz w:val="16"/>
              </w:rPr>
              <w:t>Represent previous exposure</w:t>
            </w:r>
          </w:p>
        </w:tc>
        <w:tc>
          <w:tcPr>
            <w:tcW w:type="dxa" w:w="1380"/>
            <w:vAlign w:val="top"/>
            <w:shd w:fill="F1F5F7"/>
            <w:tcMar>
              <w:top w:w="85" w:type="dxa"/>
              <w:bottom w:w="85" w:type="dxa"/>
              <w:left w:w="110" w:type="dxa"/>
              <w:right w:w="110" w:type="dxa"/>
            </w:tcMar>
          </w:tcPr>
          <w:p>
            <w:pPr>
              <w:spacing w:after="0" w:line="208" w:lineRule="exact"/>
            </w:pPr>
            <w:r>
              <w:rPr>
                <w:rFonts w:ascii="Arial" w:hAnsi="Arial"/>
                <w:b w:val="0"/>
                <w:sz w:val="16"/>
              </w:rPr>
              <w:t>Not implemented</w:t>
            </w:r>
          </w:p>
        </w:tc>
        <w:tc>
          <w:tcPr>
            <w:tcW w:type="dxa" w:w="4600"/>
            <w:vAlign w:val="top"/>
            <w:shd w:fill="F1F5F7"/>
            <w:tcMar>
              <w:top w:w="85" w:type="dxa"/>
              <w:bottom w:w="85" w:type="dxa"/>
              <w:left w:w="110" w:type="dxa"/>
              <w:right w:w="110" w:type="dxa"/>
            </w:tcMar>
          </w:tcPr>
          <w:p>
            <w:pPr>
              <w:spacing w:after="0" w:line="208" w:lineRule="exact"/>
            </w:pPr>
            <w:r>
              <w:rPr>
                <w:rFonts w:ascii="Arial" w:hAnsi="Arial"/>
                <w:b w:val="0"/>
                <w:sz w:val="16"/>
              </w:rPr>
              <w:t>Generated action histories are saved; users cannot supply pre-analysis treatment history.</w:t>
            </w:r>
          </w:p>
        </w:tc>
      </w:tr>
      <w:tr>
        <w:trPr>
          <w:cantSplit/>
        </w:trPr>
        <w:tc>
          <w:tcPr>
            <w:tcW w:type="dxa" w:w="2100"/>
            <w:vAlign w:val="top"/>
            <w:shd w:fill="FFFFFF"/>
            <w:tcMar>
              <w:top w:w="85" w:type="dxa"/>
              <w:bottom w:w="85" w:type="dxa"/>
              <w:left w:w="110" w:type="dxa"/>
              <w:right w:w="110" w:type="dxa"/>
            </w:tcMar>
          </w:tcPr>
          <w:p>
            <w:pPr>
              <w:spacing w:after="0" w:line="208" w:lineRule="exact"/>
            </w:pPr>
            <w:r>
              <w:rPr>
                <w:rFonts w:ascii="Arial" w:hAnsi="Arial"/>
                <w:b w:val="0"/>
                <w:sz w:val="16"/>
              </w:rPr>
              <w:t>Scenario configuration</w:t>
            </w:r>
          </w:p>
        </w:tc>
        <w:tc>
          <w:tcPr>
            <w:tcW w:type="dxa" w:w="2060"/>
            <w:vAlign w:val="top"/>
            <w:shd w:fill="FFFFFF"/>
            <w:tcMar>
              <w:top w:w="85" w:type="dxa"/>
              <w:bottom w:w="85" w:type="dxa"/>
              <w:left w:w="110" w:type="dxa"/>
              <w:right w:w="110" w:type="dxa"/>
            </w:tcMar>
          </w:tcPr>
          <w:p>
            <w:pPr>
              <w:spacing w:after="0" w:line="208" w:lineRule="exact"/>
            </w:pPr>
            <w:r>
              <w:rPr>
                <w:rFonts w:ascii="Arial" w:hAnsi="Arial"/>
                <w:b w:val="0"/>
                <w:sz w:val="16"/>
              </w:rPr>
              <w:t>Control evaluation conditions</w:t>
            </w:r>
          </w:p>
        </w:tc>
        <w:tc>
          <w:tcPr>
            <w:tcW w:type="dxa" w:w="1380"/>
            <w:vAlign w:val="top"/>
            <w:shd w:fill="FFFFFF"/>
            <w:tcMar>
              <w:top w:w="85" w:type="dxa"/>
              <w:bottom w:w="85" w:type="dxa"/>
              <w:left w:w="110" w:type="dxa"/>
              <w:right w:w="110" w:type="dxa"/>
            </w:tcMar>
          </w:tcPr>
          <w:p>
            <w:pPr>
              <w:spacing w:after="0" w:line="208" w:lineRule="exact"/>
            </w:pPr>
            <w:r>
              <w:rPr>
                <w:rFonts w:ascii="Arial" w:hAnsi="Arial"/>
                <w:b w:val="0"/>
                <w:sz w:val="16"/>
              </w:rPr>
              <w:t>Partial</w:t>
            </w:r>
          </w:p>
        </w:tc>
        <w:tc>
          <w:tcPr>
            <w:tcW w:type="dxa" w:w="4600"/>
            <w:vAlign w:val="top"/>
            <w:shd w:fill="FFFFFF"/>
            <w:tcMar>
              <w:top w:w="85" w:type="dxa"/>
              <w:bottom w:w="85" w:type="dxa"/>
              <w:left w:w="110" w:type="dxa"/>
              <w:right w:w="110" w:type="dxa"/>
            </w:tcMar>
          </w:tcPr>
          <w:p>
            <w:pPr>
              <w:spacing w:after="0" w:line="208" w:lineRule="exact"/>
            </w:pPr>
            <w:r>
              <w:rPr>
                <w:rFonts w:ascii="Arial" w:hAnsi="Arial"/>
                <w:b w:val="0"/>
                <w:sz w:val="16"/>
              </w:rPr>
              <w:t>Profiles and seeds are configurable. App horizon and scenario are fixed by the verified model.</w:t>
            </w:r>
          </w:p>
        </w:tc>
      </w:tr>
      <w:tr>
        <w:trPr>
          <w:cantSplit/>
        </w:trPr>
        <w:tc>
          <w:tcPr>
            <w:tcW w:type="dxa" w:w="2100"/>
            <w:vAlign w:val="top"/>
            <w:shd w:fill="F1F5F7"/>
            <w:tcMar>
              <w:top w:w="85" w:type="dxa"/>
              <w:bottom w:w="85" w:type="dxa"/>
              <w:left w:w="110" w:type="dxa"/>
              <w:right w:w="110" w:type="dxa"/>
            </w:tcMar>
          </w:tcPr>
          <w:p>
            <w:pPr>
              <w:spacing w:after="0" w:line="208" w:lineRule="exact"/>
            </w:pPr>
            <w:r>
              <w:rPr>
                <w:rFonts w:ascii="Arial" w:hAnsi="Arial"/>
                <w:b w:val="0"/>
                <w:sz w:val="16"/>
              </w:rPr>
              <w:t>Outcomes and decision traces</w:t>
            </w:r>
          </w:p>
        </w:tc>
        <w:tc>
          <w:tcPr>
            <w:tcW w:type="dxa" w:w="2060"/>
            <w:vAlign w:val="top"/>
            <w:shd w:fill="F1F5F7"/>
            <w:tcMar>
              <w:top w:w="85" w:type="dxa"/>
              <w:bottom w:w="85" w:type="dxa"/>
              <w:left w:w="110" w:type="dxa"/>
              <w:right w:w="110" w:type="dxa"/>
            </w:tcMar>
          </w:tcPr>
          <w:p>
            <w:pPr>
              <w:spacing w:after="0" w:line="208" w:lineRule="exact"/>
            </w:pPr>
            <w:r>
              <w:rPr>
                <w:rFonts w:ascii="Arial" w:hAnsi="Arial"/>
                <w:b w:val="0"/>
                <w:sz w:val="16"/>
              </w:rPr>
              <w:t>Inspect consequences and support</w:t>
            </w:r>
          </w:p>
        </w:tc>
        <w:tc>
          <w:tcPr>
            <w:tcW w:type="dxa" w:w="1380"/>
            <w:vAlign w:val="top"/>
            <w:shd w:fill="F1F5F7"/>
            <w:tcMar>
              <w:top w:w="85" w:type="dxa"/>
              <w:bottom w:w="85" w:type="dxa"/>
              <w:left w:w="110" w:type="dxa"/>
              <w:right w:w="110" w:type="dxa"/>
            </w:tcMar>
          </w:tcPr>
          <w:p>
            <w:pPr>
              <w:spacing w:after="0" w:line="208" w:lineRule="exact"/>
            </w:pPr>
            <w:r>
              <w:rPr>
                <w:rFonts w:ascii="Arial" w:hAnsi="Arial"/>
                <w:b w:val="0"/>
                <w:sz w:val="16"/>
              </w:rPr>
              <w:t>Completed*</w:t>
            </w:r>
          </w:p>
        </w:tc>
        <w:tc>
          <w:tcPr>
            <w:tcW w:type="dxa" w:w="4600"/>
            <w:vAlign w:val="top"/>
            <w:shd w:fill="F1F5F7"/>
            <w:tcMar>
              <w:top w:w="85" w:type="dxa"/>
              <w:bottom w:w="85" w:type="dxa"/>
              <w:left w:w="110" w:type="dxa"/>
              <w:right w:w="110" w:type="dxa"/>
            </w:tcMar>
          </w:tcPr>
          <w:p>
            <w:pPr>
              <w:spacing w:after="0" w:line="208" w:lineRule="exact"/>
            </w:pPr>
            <w:r>
              <w:rPr>
                <w:rFonts w:ascii="Arial" w:hAnsi="Arial"/>
                <w:b w:val="0"/>
                <w:sz w:val="16"/>
              </w:rPr>
              <w:t>recommendation/ResultsWorkbench.tsx: sequences, metrics, trajectories and CS/XR evidence.</w:t>
            </w:r>
          </w:p>
        </w:tc>
      </w:tr>
      <w:tr>
        <w:trPr>
          <w:cantSplit/>
        </w:trPr>
        <w:tc>
          <w:tcPr>
            <w:tcW w:type="dxa" w:w="2100"/>
            <w:vAlign w:val="top"/>
            <w:shd w:fill="FFFFFF"/>
            <w:tcMar>
              <w:top w:w="85" w:type="dxa"/>
              <w:bottom w:w="85" w:type="dxa"/>
              <w:left w:w="110" w:type="dxa"/>
              <w:right w:w="110" w:type="dxa"/>
            </w:tcMar>
          </w:tcPr>
          <w:p>
            <w:pPr>
              <w:spacing w:after="0" w:line="208" w:lineRule="exact"/>
            </w:pPr>
            <w:r>
              <w:rPr>
                <w:rFonts w:ascii="Arial" w:hAnsi="Arial"/>
                <w:b w:val="0"/>
                <w:sz w:val="16"/>
              </w:rPr>
              <w:t>Persistence and model metadata</w:t>
            </w:r>
          </w:p>
        </w:tc>
        <w:tc>
          <w:tcPr>
            <w:tcW w:type="dxa" w:w="2060"/>
            <w:vAlign w:val="top"/>
            <w:shd w:fill="FFFFFF"/>
            <w:tcMar>
              <w:top w:w="85" w:type="dxa"/>
              <w:bottom w:w="85" w:type="dxa"/>
              <w:left w:w="110" w:type="dxa"/>
              <w:right w:w="110" w:type="dxa"/>
            </w:tcMar>
          </w:tcPr>
          <w:p>
            <w:pPr>
              <w:spacing w:after="0" w:line="208" w:lineRule="exact"/>
            </w:pPr>
            <w:r>
              <w:rPr>
                <w:rFonts w:ascii="Arial" w:hAnsi="Arial"/>
                <w:b w:val="0"/>
                <w:sz w:val="16"/>
              </w:rPr>
              <w:t>Revisit and reproduce runs</w:t>
            </w:r>
          </w:p>
        </w:tc>
        <w:tc>
          <w:tcPr>
            <w:tcW w:type="dxa" w:w="1380"/>
            <w:vAlign w:val="top"/>
            <w:shd w:fill="FFFFFF"/>
            <w:tcMar>
              <w:top w:w="85" w:type="dxa"/>
              <w:bottom w:w="85" w:type="dxa"/>
              <w:left w:w="110" w:type="dxa"/>
              <w:right w:w="110" w:type="dxa"/>
            </w:tcMar>
          </w:tcPr>
          <w:p>
            <w:pPr>
              <w:spacing w:after="0" w:line="208" w:lineRule="exact"/>
            </w:pPr>
            <w:r>
              <w:rPr>
                <w:rFonts w:ascii="Arial" w:hAnsi="Arial"/>
                <w:b w:val="0"/>
                <w:sz w:val="16"/>
              </w:rPr>
              <w:t>Completed</w:t>
            </w:r>
          </w:p>
        </w:tc>
        <w:tc>
          <w:tcPr>
            <w:tcW w:type="dxa" w:w="4600"/>
            <w:vAlign w:val="top"/>
            <w:shd w:fill="FFFFFF"/>
            <w:tcMar>
              <w:top w:w="85" w:type="dxa"/>
              <w:bottom w:w="85" w:type="dxa"/>
              <w:left w:w="110" w:type="dxa"/>
              <w:right w:w="110" w:type="dxa"/>
            </w:tcMar>
          </w:tcPr>
          <w:p>
            <w:pPr>
              <w:spacing w:after="0" w:line="208" w:lineRule="exact"/>
            </w:pPr>
            <w:r>
              <w:rPr>
                <w:rFonts w:ascii="Arial" w:hAnsi="Arial"/>
                <w:b w:val="0"/>
                <w:sz w:val="16"/>
              </w:rPr>
              <w:t>PostgreSQL records owner-scoped inputs, seeds, policy identities, results and step traces.</w:t>
            </w:r>
          </w:p>
        </w:tc>
      </w:tr>
      <w:tr>
        <w:trPr>
          <w:cantSplit/>
        </w:trPr>
        <w:tc>
          <w:tcPr>
            <w:tcW w:type="dxa" w:w="2100"/>
            <w:vAlign w:val="top"/>
            <w:shd w:fill="F1F5F7"/>
            <w:tcMar>
              <w:top w:w="85" w:type="dxa"/>
              <w:bottom w:w="85" w:type="dxa"/>
              <w:left w:w="110" w:type="dxa"/>
              <w:right w:w="110" w:type="dxa"/>
            </w:tcMar>
          </w:tcPr>
          <w:p>
            <w:pPr>
              <w:spacing w:after="0" w:line="208" w:lineRule="exact"/>
            </w:pPr>
            <w:r>
              <w:rPr>
                <w:rFonts w:ascii="Arial" w:hAnsi="Arial"/>
                <w:b w:val="0"/>
                <w:sz w:val="16"/>
              </w:rPr>
              <w:t>Seed/scenario evaluation</w:t>
            </w:r>
          </w:p>
        </w:tc>
        <w:tc>
          <w:tcPr>
            <w:tcW w:type="dxa" w:w="2060"/>
            <w:vAlign w:val="top"/>
            <w:shd w:fill="F1F5F7"/>
            <w:tcMar>
              <w:top w:w="85" w:type="dxa"/>
              <w:bottom w:w="85" w:type="dxa"/>
              <w:left w:w="110" w:type="dxa"/>
              <w:right w:w="110" w:type="dxa"/>
            </w:tcMar>
          </w:tcPr>
          <w:p>
            <w:pPr>
              <w:spacing w:after="0" w:line="208" w:lineRule="exact"/>
            </w:pPr>
            <w:r>
              <w:rPr>
                <w:rFonts w:ascii="Arial" w:hAnsi="Arial"/>
                <w:b w:val="0"/>
                <w:sz w:val="16"/>
              </w:rPr>
              <w:t>Assess robustness</w:t>
            </w:r>
          </w:p>
        </w:tc>
        <w:tc>
          <w:tcPr>
            <w:tcW w:type="dxa" w:w="1380"/>
            <w:vAlign w:val="top"/>
            <w:shd w:fill="F1F5F7"/>
            <w:tcMar>
              <w:top w:w="85" w:type="dxa"/>
              <w:bottom w:w="85" w:type="dxa"/>
              <w:left w:w="110" w:type="dxa"/>
              <w:right w:w="110" w:type="dxa"/>
            </w:tcMar>
          </w:tcPr>
          <w:p>
            <w:pPr>
              <w:spacing w:after="0" w:line="208" w:lineRule="exact"/>
            </w:pPr>
            <w:r>
              <w:rPr>
                <w:rFonts w:ascii="Arial" w:hAnsi="Arial"/>
                <w:b w:val="0"/>
                <w:sz w:val="16"/>
              </w:rPr>
              <w:t>Partial</w:t>
            </w:r>
          </w:p>
        </w:tc>
        <w:tc>
          <w:tcPr>
            <w:tcW w:type="dxa" w:w="4600"/>
            <w:vAlign w:val="top"/>
            <w:shd w:fill="F1F5F7"/>
            <w:tcMar>
              <w:top w:w="85" w:type="dxa"/>
              <w:bottom w:w="85" w:type="dxa"/>
              <w:left w:w="110" w:type="dxa"/>
              <w:right w:w="110" w:type="dxa"/>
            </w:tcMar>
          </w:tcPr>
          <w:p>
            <w:pPr>
              <w:spacing w:after="0" w:line="208" w:lineRule="exact"/>
            </w:pPr>
            <w:r>
              <w:rPr>
                <w:rFonts w:ascii="Arial" w:hAnsi="Arial"/>
                <w:b w:val="0"/>
                <w:sz w:val="16"/>
              </w:rPr>
              <w:t>20 training seeds, separate evaluation draws, exact reference and occurrence sensitivity; no held-out profile split.</w:t>
            </w:r>
          </w:p>
        </w:tc>
      </w:tr>
      <w:tr>
        <w:trPr>
          <w:cantSplit/>
        </w:trPr>
        <w:tc>
          <w:tcPr>
            <w:tcW w:type="dxa" w:w="2100"/>
            <w:vAlign w:val="top"/>
            <w:shd w:fill="FFFFFF"/>
            <w:tcMar>
              <w:top w:w="85" w:type="dxa"/>
              <w:bottom w:w="85" w:type="dxa"/>
              <w:left w:w="110" w:type="dxa"/>
              <w:right w:w="110" w:type="dxa"/>
            </w:tcMar>
          </w:tcPr>
          <w:p>
            <w:pPr>
              <w:spacing w:after="0" w:line="208" w:lineRule="exact"/>
            </w:pPr>
            <w:r>
              <w:rPr>
                <w:rFonts w:ascii="Arial" w:hAnsi="Arial"/>
                <w:b w:val="0"/>
                <w:sz w:val="16"/>
              </w:rPr>
              <w:t>Regional starting conditions</w:t>
            </w:r>
          </w:p>
        </w:tc>
        <w:tc>
          <w:tcPr>
            <w:tcW w:type="dxa" w:w="2060"/>
            <w:vAlign w:val="top"/>
            <w:shd w:fill="FFFFFF"/>
            <w:tcMar>
              <w:top w:w="85" w:type="dxa"/>
              <w:bottom w:w="85" w:type="dxa"/>
              <w:left w:w="110" w:type="dxa"/>
              <w:right w:w="110" w:type="dxa"/>
            </w:tcMar>
          </w:tcPr>
          <w:p>
            <w:pPr>
              <w:spacing w:after="0" w:line="208" w:lineRule="exact"/>
            </w:pPr>
            <w:r>
              <w:rPr>
                <w:rFonts w:ascii="Arial" w:hAnsi="Arial"/>
                <w:b w:val="0"/>
                <w:sz w:val="16"/>
              </w:rPr>
              <w:t>Reflect local evidence</w:t>
            </w:r>
          </w:p>
        </w:tc>
        <w:tc>
          <w:tcPr>
            <w:tcW w:type="dxa" w:w="1380"/>
            <w:vAlign w:val="top"/>
            <w:shd w:fill="FFFFFF"/>
            <w:tcMar>
              <w:top w:w="85" w:type="dxa"/>
              <w:bottom w:w="85" w:type="dxa"/>
              <w:left w:w="110" w:type="dxa"/>
              <w:right w:w="110" w:type="dxa"/>
            </w:tcMar>
          </w:tcPr>
          <w:p>
            <w:pPr>
              <w:spacing w:after="0" w:line="208" w:lineRule="exact"/>
            </w:pPr>
            <w:r>
              <w:rPr>
                <w:rFonts w:ascii="Arial" w:hAnsi="Arial"/>
                <w:b w:val="0"/>
                <w:sz w:val="16"/>
              </w:rPr>
              <w:t>Not calibrated</w:t>
            </w:r>
          </w:p>
        </w:tc>
        <w:tc>
          <w:tcPr>
            <w:tcW w:type="dxa" w:w="4600"/>
            <w:vAlign w:val="top"/>
            <w:shd w:fill="FFFFFF"/>
            <w:tcMar>
              <w:top w:w="85" w:type="dxa"/>
              <w:bottom w:w="85" w:type="dxa"/>
              <w:left w:w="110" w:type="dxa"/>
              <w:right w:w="110" w:type="dxa"/>
            </w:tcMar>
          </w:tcPr>
          <w:p>
            <w:pPr>
              <w:spacing w:after="0" w:line="208" w:lineRule="exact"/>
            </w:pPr>
            <w:r>
              <w:rPr>
                <w:rFonts w:ascii="Arial" w:hAnsi="Arial"/>
                <w:b w:val="0"/>
                <w:sz w:val="16"/>
              </w:rPr>
              <w:t>Exhaustive binary profiles are evaluated; no Rwanda-specific prevalence distribution is fitted.</w:t>
            </w:r>
          </w:p>
        </w:tc>
      </w:tr>
      <w:tr>
        <w:trPr>
          <w:cantSplit/>
        </w:trPr>
        <w:tc>
          <w:tcPr>
            <w:tcW w:type="dxa" w:w="2100"/>
            <w:vAlign w:val="top"/>
            <w:shd w:fill="F1F5F7"/>
            <w:tcMar>
              <w:top w:w="85" w:type="dxa"/>
              <w:bottom w:w="85" w:type="dxa"/>
              <w:left w:w="110" w:type="dxa"/>
              <w:right w:w="110" w:type="dxa"/>
            </w:tcMar>
          </w:tcPr>
          <w:p>
            <w:pPr>
              <w:spacing w:after="0" w:line="208" w:lineRule="exact"/>
            </w:pPr>
            <w:r>
              <w:rPr>
                <w:rFonts w:ascii="Arial" w:hAnsi="Arial"/>
                <w:b w:val="0"/>
                <w:sz w:val="16"/>
              </w:rPr>
              <w:t>Practitioner validation</w:t>
            </w:r>
          </w:p>
        </w:tc>
        <w:tc>
          <w:tcPr>
            <w:tcW w:type="dxa" w:w="2060"/>
            <w:vAlign w:val="top"/>
            <w:shd w:fill="F1F5F7"/>
            <w:tcMar>
              <w:top w:w="85" w:type="dxa"/>
              <w:bottom w:w="85" w:type="dxa"/>
              <w:left w:w="110" w:type="dxa"/>
              <w:right w:w="110" w:type="dxa"/>
            </w:tcMar>
          </w:tcPr>
          <w:p>
            <w:pPr>
              <w:spacing w:after="0" w:line="208" w:lineRule="exact"/>
            </w:pPr>
            <w:r>
              <w:rPr>
                <w:rFonts w:ascii="Arial" w:hAnsi="Arial"/>
                <w:b w:val="0"/>
                <w:sz w:val="16"/>
              </w:rPr>
              <w:t>Assess usability and clarity</w:t>
            </w:r>
          </w:p>
        </w:tc>
        <w:tc>
          <w:tcPr>
            <w:tcW w:type="dxa" w:w="1380"/>
            <w:vAlign w:val="top"/>
            <w:shd w:fill="F1F5F7"/>
            <w:tcMar>
              <w:top w:w="85" w:type="dxa"/>
              <w:bottom w:w="85" w:type="dxa"/>
              <w:left w:w="110" w:type="dxa"/>
              <w:right w:w="110" w:type="dxa"/>
            </w:tcMar>
          </w:tcPr>
          <w:p>
            <w:pPr>
              <w:spacing w:after="0" w:line="208" w:lineRule="exact"/>
            </w:pPr>
            <w:r>
              <w:rPr>
                <w:rFonts w:ascii="Arial" w:hAnsi="Arial"/>
                <w:b w:val="0"/>
                <w:sz w:val="16"/>
              </w:rPr>
              <w:t>Pending</w:t>
            </w:r>
          </w:p>
        </w:tc>
        <w:tc>
          <w:tcPr>
            <w:tcW w:type="dxa" w:w="4600"/>
            <w:vAlign w:val="top"/>
            <w:shd w:fill="F1F5F7"/>
            <w:tcMar>
              <w:top w:w="85" w:type="dxa"/>
              <w:bottom w:w="85" w:type="dxa"/>
              <w:left w:w="110" w:type="dxa"/>
              <w:right w:w="110" w:type="dxa"/>
            </w:tcMar>
          </w:tcPr>
          <w:p>
            <w:pPr>
              <w:spacing w:after="0" w:line="208" w:lineRule="exact"/>
            </w:pPr>
            <w:r>
              <w:rPr>
                <w:rFonts w:ascii="Arial" w:hAnsi="Arial"/>
                <w:b w:val="0"/>
                <w:sz w:val="16"/>
              </w:rPr>
              <w:t>The planned 3-5 practitioner study has not yet been conducted.</w:t>
            </w:r>
          </w:p>
        </w:tc>
      </w:tr>
    </w:tbl>
    <w:p>
      <w:pPr>
        <w:spacing w:after="0" w:line="60" w:lineRule="exact"/>
      </w:pPr>
      <w:r>
        <w:rPr>
          <w:sz w:val="6"/>
        </w:rPr>
      </w:r>
    </w:p>
    <w:p>
      <w:pPr/>
      <w:r>
        <w:rPr>
          <w:b/>
        </w:rPr>
        <w:t>*Scope refinement.</w:t>
      </w:r>
      <w:r>
        <w:rPr>
          <w:b w:val="0"/>
        </w:rPr>
        <w:t xml:space="preserve"> Resistance burden replaces a direct clinical-success objective; susceptibility compliance is not efficacy. Evidence is incomplete and probabilities are scenario assumptions. The original urinary-tract 3D page is illustrative only. These refinements narrow the claims made about the delivered model.</w:t>
      </w:r>
    </w:p>
    <w:p>
      <w:pPr/>
      <w:r>
        <w:rPr>
          <w:b/>
        </w:rPr>
        <w:t>Extensions:</w:t>
      </w:r>
      <w:r>
        <w:rPr>
          <w:b w:val="0"/>
        </w:rPr>
        <w:t xml:space="preserve"> DQN, a labeled-sample queue, separate Analysis History and Insights pages, research collections, exports and Model Explorer strengthen research continuity. They do not replace the unimplemented prior-history input. Proposal milestones are evidenced by implementation and experiments, not independently verified against a dated milestone log.</w:t>
      </w:r>
    </w:p>
    <w:p>
      <w:r>
        <w:br w:type="page"/>
      </w:r>
    </w:p>
    <w:p>
      <w:pPr>
        <w:pStyle w:val="Heading1"/>
      </w:pPr>
      <w:r>
        <w:t>2. Architecture, data handling and code quality</w:t>
      </w:r>
    </w:p>
    <w:p>
      <w:pPr/>
      <w:r>
        <w:rPr>
          <w:b w:val="0"/>
        </w:rPr>
        <w:t>The implemented stack follows the proposal: React/TypeScript, ASP.NET Core, PostgreSQL/EF Core and a Python FastAPI service using Gymnasium and Stable-Baselines3. Scientific computation is separate from application ownership and persistence.</w:t>
      </w:r>
    </w:p>
    <w:p>
      <w:r>
        <w:drawing>
          <wp:inline xmlns:a="http://schemas.openxmlformats.org/drawingml/2006/main" xmlns:pic="http://schemas.openxmlformats.org/drawingml/2006/picture">
            <wp:extent cx="6223000" cy="19431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23000" cy="1943100"/>
                    </a:xfrm>
                    <a:prstGeom prst="rect"/>
                  </pic:spPr>
                </pic:pic>
              </a:graphicData>
            </a:graphic>
          </wp:inline>
        </w:drawing>
      </w:r>
    </w:p>
    <w:p>
      <w:pPr>
        <w:spacing w:line="200" w:lineRule="exact"/>
      </w:pPr>
      <w:r>
        <w:rPr>
          <w:i/>
          <w:sz w:val="15"/>
        </w:rPr>
        <w:t>Figure 1. A comparison request uses the API as the public boundary; Python performs inference and the API stores verified outputs.</w:t>
      </w:r>
    </w:p>
    <w:p>
      <w:pPr>
        <w:pStyle w:val="Heading2"/>
      </w:pPr>
      <w:r>
        <w:rPr>
          <w:b w:val="0"/>
        </w:rPr>
        <w:t>Request-to-result workflow</w:t>
      </w:r>
    </w:p>
    <w:p>
      <w:pPr/>
      <w:r>
        <w:rPr>
          <w:b w:val="0"/>
        </w:rPr>
        <w:t>1. The researcher signs in and chooses a saved or newly configured profile. React submits the profile and optional seeds with a cookie session and CSRF token.</w:t>
      </w:r>
      <w:r>
        <w:br/>
      </w:r>
      <w:r>
        <w:rPr>
          <w:b w:val="0"/>
        </w:rPr>
        <w:t>2. The API validates shape, ranges and sample ownership, then sends one request to Python. Both learned checkpoints and their data were hash-verified at service startup.</w:t>
      </w:r>
      <w:r>
        <w:br/>
      </w:r>
      <w:r>
        <w:rPr>
          <w:b w:val="0"/>
        </w:rPr>
        <w:t>3. Python executes the three policies from shared initial conditions and checks the pairing contract. Seeds match by step, but different actions can yield different outcomes.</w:t>
      </w:r>
      <w:r>
        <w:br/>
      </w:r>
      <w:r>
        <w:rPr>
          <w:b w:val="0"/>
        </w:rPr>
        <w:t>4. The API validates the returned contract and commits the run, strategy records and traces in one transaction. Only then does it return 201 Created with the resource ID and isPersisted=true.</w:t>
      </w:r>
    </w:p>
    <w:p>
      <w:pPr>
        <w:pStyle w:val="Heading2"/>
      </w:pPr>
      <w:r>
        <w:rPr>
          <w:b w:val="0"/>
        </w:rPr>
        <w:t>OOP and maintainability practices</w:t>
      </w:r>
    </w:p>
    <w:tbl>
      <w:tblPr>
        <w:tblW w:type="auto" w:w="0"/>
        <w:jc w:val="left"/>
        <w:tblLayout w:type="fixed"/>
        <w:tblLook w:firstColumn="1" w:firstRow="1" w:lastColumn="0" w:lastRow="0" w:noHBand="0" w:noVBand="1" w:val="04A0"/>
      </w:tblPr>
      <w:tblGrid>
        <w:gridCol w:w="2540"/>
        <w:gridCol w:w="7600"/>
      </w:tblGrid>
      <w:tr>
        <w:trPr>
          <w:cantSplit/>
        </w:trPr>
        <w:tc>
          <w:tcPr>
            <w:tcW w:type="dxa" w:w="2540"/>
            <w:vAlign w:val="top"/>
            <w:shd w:fill="174B5C"/>
            <w:tcMar>
              <w:top w:w="85" w:type="dxa"/>
              <w:bottom w:w="85" w:type="dxa"/>
              <w:left w:w="110" w:type="dxa"/>
              <w:right w:w="110" w:type="dxa"/>
            </w:tcMar>
          </w:tcPr>
          <w:p>
            <w:pPr>
              <w:spacing w:after="0" w:line="208" w:lineRule="exact"/>
            </w:pPr>
            <w:r>
              <w:rPr>
                <w:rFonts w:ascii="Arial" w:hAnsi="Arial"/>
                <w:b/>
                <w:color w:val="FFFFFF"/>
                <w:sz w:val="16"/>
              </w:rPr>
              <w:t>Practice</w:t>
            </w:r>
          </w:p>
        </w:tc>
        <w:tc>
          <w:tcPr>
            <w:tcW w:type="dxa" w:w="7600"/>
            <w:vAlign w:val="top"/>
            <w:shd w:fill="174B5C"/>
            <w:tcMar>
              <w:top w:w="85" w:type="dxa"/>
              <w:bottom w:w="85" w:type="dxa"/>
              <w:left w:w="110" w:type="dxa"/>
              <w:right w:w="110" w:type="dxa"/>
            </w:tcMar>
          </w:tcPr>
          <w:p>
            <w:pPr>
              <w:spacing w:after="0" w:line="208" w:lineRule="exact"/>
            </w:pPr>
            <w:r>
              <w:rPr>
                <w:rFonts w:ascii="Arial" w:hAnsi="Arial"/>
                <w:b/>
                <w:color w:val="FFFFFF"/>
                <w:sz w:val="16"/>
              </w:rPr>
              <w:t>Concrete implementation</w:t>
            </w:r>
          </w:p>
        </w:tc>
      </w:tr>
      <w:tr>
        <w:trPr>
          <w:cantSplit/>
        </w:trPr>
        <w:tc>
          <w:tcPr>
            <w:tcW w:type="dxa" w:w="2540"/>
            <w:vAlign w:val="top"/>
            <w:shd w:fill="FFFFFF"/>
            <w:tcMar>
              <w:top w:w="85" w:type="dxa"/>
              <w:bottom w:w="85" w:type="dxa"/>
              <w:left w:w="110" w:type="dxa"/>
              <w:right w:w="110" w:type="dxa"/>
            </w:tcMar>
          </w:tcPr>
          <w:p>
            <w:pPr>
              <w:spacing w:after="0" w:line="208" w:lineRule="exact"/>
            </w:pPr>
            <w:r>
              <w:rPr>
                <w:rFonts w:ascii="Arial" w:hAnsi="Arial"/>
                <w:b w:val="0"/>
                <w:sz w:val="16"/>
              </w:rPr>
              <w:t>Encapsulation</w:t>
            </w:r>
          </w:p>
        </w:tc>
        <w:tc>
          <w:tcPr>
            <w:tcW w:type="dxa" w:w="7600"/>
            <w:vAlign w:val="top"/>
            <w:shd w:fill="FFFFFF"/>
            <w:tcMar>
              <w:top w:w="85" w:type="dxa"/>
              <w:bottom w:w="85" w:type="dxa"/>
              <w:left w:w="110" w:type="dxa"/>
              <w:right w:w="110" w:type="dxa"/>
            </w:tcMar>
          </w:tcPr>
          <w:p>
            <w:pPr>
              <w:spacing w:after="0" w:line="208" w:lineRule="exact"/>
            </w:pPr>
            <w:r>
              <w:rPr>
                <w:rFonts w:ascii="Arial" w:hAnsi="Arial"/>
                <w:b w:val="0"/>
                <w:sz w:val="16"/>
              </w:rPr>
              <w:t>Immutable ResistanceState and validated inference context protect scientific invariants.</w:t>
            </w:r>
          </w:p>
        </w:tc>
      </w:tr>
      <w:tr>
        <w:trPr>
          <w:cantSplit/>
        </w:trPr>
        <w:tc>
          <w:tcPr>
            <w:tcW w:type="dxa" w:w="2540"/>
            <w:vAlign w:val="top"/>
            <w:shd w:fill="F1F5F7"/>
            <w:tcMar>
              <w:top w:w="85" w:type="dxa"/>
              <w:bottom w:w="85" w:type="dxa"/>
              <w:left w:w="110" w:type="dxa"/>
              <w:right w:w="110" w:type="dxa"/>
            </w:tcMar>
          </w:tcPr>
          <w:p>
            <w:pPr>
              <w:spacing w:after="0" w:line="208" w:lineRule="exact"/>
            </w:pPr>
            <w:r>
              <w:rPr>
                <w:rFonts w:ascii="Arial" w:hAnsi="Arial"/>
                <w:b w:val="0"/>
                <w:sz w:val="16"/>
              </w:rPr>
              <w:t>Abstraction / polymorphism</w:t>
            </w:r>
          </w:p>
        </w:tc>
        <w:tc>
          <w:tcPr>
            <w:tcW w:type="dxa" w:w="7600"/>
            <w:vAlign w:val="top"/>
            <w:shd w:fill="F1F5F7"/>
            <w:tcMar>
              <w:top w:w="85" w:type="dxa"/>
              <w:bottom w:w="85" w:type="dxa"/>
              <w:left w:w="110" w:type="dxa"/>
              <w:right w:w="110" w:type="dxa"/>
            </w:tcMar>
          </w:tcPr>
          <w:p>
            <w:pPr>
              <w:spacing w:after="0" w:line="208" w:lineRule="exact"/>
            </w:pPr>
            <w:r>
              <w:rPr>
                <w:rFonts w:ascii="Arial" w:hAnsi="Arial"/>
                <w:b w:val="0"/>
                <w:sz w:val="16"/>
              </w:rPr>
              <w:t>IRunRepository and IPythonServiceClient isolate infrastructure; ObservationPolicy supplies a common action-selection contract.</w:t>
            </w:r>
          </w:p>
        </w:tc>
      </w:tr>
      <w:tr>
        <w:trPr>
          <w:cantSplit/>
        </w:trPr>
        <w:tc>
          <w:tcPr>
            <w:tcW w:type="dxa" w:w="2540"/>
            <w:vAlign w:val="top"/>
            <w:shd w:fill="FFFFFF"/>
            <w:tcMar>
              <w:top w:w="85" w:type="dxa"/>
              <w:bottom w:w="85" w:type="dxa"/>
              <w:left w:w="110" w:type="dxa"/>
              <w:right w:w="110" w:type="dxa"/>
            </w:tcMar>
          </w:tcPr>
          <w:p>
            <w:pPr>
              <w:spacing w:after="0" w:line="208" w:lineRule="exact"/>
            </w:pPr>
            <w:r>
              <w:rPr>
                <w:rFonts w:ascii="Arial" w:hAnsi="Arial"/>
                <w:b w:val="0"/>
                <w:sz w:val="16"/>
              </w:rPr>
              <w:t>Inheritance</w:t>
            </w:r>
          </w:p>
        </w:tc>
        <w:tc>
          <w:tcPr>
            <w:tcW w:type="dxa" w:w="7600"/>
            <w:vAlign w:val="top"/>
            <w:shd w:fill="FFFFFF"/>
            <w:tcMar>
              <w:top w:w="85" w:type="dxa"/>
              <w:bottom w:w="85" w:type="dxa"/>
              <w:left w:w="110" w:type="dxa"/>
              <w:right w:w="110" w:type="dxa"/>
            </w:tcMar>
          </w:tcPr>
          <w:p>
            <w:pPr>
              <w:spacing w:after="0" w:line="208" w:lineRule="exact"/>
            </w:pPr>
            <w:r>
              <w:rPr>
                <w:rFonts w:ascii="Arial" w:hAnsi="Arial"/>
                <w:b w:val="0"/>
                <w:sz w:val="16"/>
              </w:rPr>
              <w:t>MaskedDQN extends library DQN; the environment implements Gymnasium behaviour; React has a scene error boundary.</w:t>
            </w:r>
          </w:p>
        </w:tc>
      </w:tr>
      <w:tr>
        <w:trPr>
          <w:cantSplit/>
        </w:trPr>
        <w:tc>
          <w:tcPr>
            <w:tcW w:type="dxa" w:w="2540"/>
            <w:vAlign w:val="top"/>
            <w:shd w:fill="F1F5F7"/>
            <w:tcMar>
              <w:top w:w="85" w:type="dxa"/>
              <w:bottom w:w="85" w:type="dxa"/>
              <w:left w:w="110" w:type="dxa"/>
              <w:right w:w="110" w:type="dxa"/>
            </w:tcMar>
          </w:tcPr>
          <w:p>
            <w:pPr>
              <w:spacing w:after="0" w:line="208" w:lineRule="exact"/>
            </w:pPr>
            <w:r>
              <w:rPr>
                <w:rFonts w:ascii="Arial" w:hAnsi="Arial"/>
                <w:b w:val="0"/>
                <w:sz w:val="16"/>
              </w:rPr>
              <w:t>Separation of concerns</w:t>
            </w:r>
          </w:p>
        </w:tc>
        <w:tc>
          <w:tcPr>
            <w:tcW w:type="dxa" w:w="7600"/>
            <w:vAlign w:val="top"/>
            <w:shd w:fill="F1F5F7"/>
            <w:tcMar>
              <w:top w:w="85" w:type="dxa"/>
              <w:bottom w:w="85" w:type="dxa"/>
              <w:left w:w="110" w:type="dxa"/>
              <w:right w:w="110" w:type="dxa"/>
            </w:tcMar>
          </w:tcPr>
          <w:p>
            <w:pPr>
              <w:spacing w:after="0" w:line="208" w:lineRule="exact"/>
            </w:pPr>
            <w:r>
              <w:rPr>
                <w:rFonts w:ascii="Arial" w:hAnsi="Arial"/>
                <w:b w:val="0"/>
                <w:sz w:val="16"/>
              </w:rPr>
              <w:t>Domain, Application, Infrastructure and API projects; frontend modules group samples, evaluations, results, history and exploration.</w:t>
            </w:r>
          </w:p>
        </w:tc>
      </w:tr>
      <w:tr>
        <w:trPr>
          <w:cantSplit/>
        </w:trPr>
        <w:tc>
          <w:tcPr>
            <w:tcW w:type="dxa" w:w="2540"/>
            <w:vAlign w:val="top"/>
            <w:shd w:fill="FFFFFF"/>
            <w:tcMar>
              <w:top w:w="85" w:type="dxa"/>
              <w:bottom w:w="85" w:type="dxa"/>
              <w:left w:w="110" w:type="dxa"/>
              <w:right w:w="110" w:type="dxa"/>
            </w:tcMar>
          </w:tcPr>
          <w:p>
            <w:pPr>
              <w:spacing w:after="0" w:line="208" w:lineRule="exact"/>
            </w:pPr>
            <w:r>
              <w:rPr>
                <w:rFonts w:ascii="Arial" w:hAnsi="Arial"/>
                <w:b w:val="0"/>
                <w:sz w:val="16"/>
              </w:rPr>
              <w:t>Dependency inversion / reuse</w:t>
            </w:r>
          </w:p>
        </w:tc>
        <w:tc>
          <w:tcPr>
            <w:tcW w:type="dxa" w:w="7600"/>
            <w:vAlign w:val="top"/>
            <w:shd w:fill="FFFFFF"/>
            <w:tcMar>
              <w:top w:w="85" w:type="dxa"/>
              <w:bottom w:w="85" w:type="dxa"/>
              <w:left w:w="110" w:type="dxa"/>
              <w:right w:w="110" w:type="dxa"/>
            </w:tcMar>
          </w:tcPr>
          <w:p>
            <w:pPr>
              <w:spacing w:after="0" w:line="208" w:lineRule="exact"/>
            </w:pPr>
            <w:r>
              <w:rPr>
                <w:rFonts w:ascii="Arial" w:hAnsi="Arial"/>
                <w:b w:val="0"/>
                <w:sz w:val="16"/>
              </w:rPr>
              <w:t>Constructor-injected interfaces, shared DTO mappings, metrics, validators, charts and UI components. Architecture tests enforce dependency directions.</w:t>
            </w:r>
          </w:p>
        </w:tc>
      </w:tr>
    </w:tbl>
    <w:p>
      <w:pPr>
        <w:spacing w:after="0" w:line="60" w:lineRule="exact"/>
      </w:pPr>
      <w:r>
        <w:rPr>
          <w:sz w:val="6"/>
        </w:rPr>
      </w:r>
    </w:p>
    <w:p>
      <w:pPr>
        <w:pStyle w:val="Heading2"/>
      </w:pPr>
      <w:r>
        <w:rPr>
          <w:b w:val="0"/>
        </w:rPr>
        <w:t>Persistent data and failure handling</w:t>
      </w:r>
    </w:p>
    <w:p>
      <w:pPr/>
      <w:r>
        <w:rPr>
          <w:b w:val="0"/>
        </w:rPr>
        <w:t>Users, samples, model_versions, experiment_runs, strategy_runs, step_traces and analysis_collections form the stored research record. Reads are account-scoped; missing and foreign-owned records share a 404 response. Transactions prevent partial saved comparisons. Seeds, checkpoint identities, data hashes and metric definitions are retained rather than recomputed when a run is reopened.</w:t>
      </w:r>
    </w:p>
    <w:p>
      <w:pPr/>
      <w:r>
        <w:rPr>
          <w:b w:val="0"/>
        </w:rPr>
        <w:t>Passwords use the framework salted PBKDF2 hasher. Cookie sessions, antiforgery checks and authentication rate limiting are implemented. Validation failures return 422; unavailable dependencies and invalid upstream contracts are classified explicitly. Correlation IDs support diagnosis, and scientific POSTs are not automatically retried.</w:t>
      </w:r>
    </w:p>
    <w:p>
      <w:pPr/>
      <w:r>
        <w:rPr>
          <w:b/>
        </w:rPr>
        <w:t>Code evidence:</w:t>
      </w:r>
      <w:r>
        <w:rPr>
          <w:b w:val="0"/>
        </w:rPr>
        <w:t xml:space="preserve"> backend/src/Amr.Application/Services/ComparisonService.cs; backend/src/Amr.Infrastructure/Persistence/RunRepository.cs; backend/tests/Amr.UnitTests/Architecture/; ml/src/evaluation_runner.py. Source references resolve within repository baseline [2].</w:t>
      </w:r>
    </w:p>
    <w:p>
      <w:r>
        <w:br w:type="page"/>
      </w:r>
    </w:p>
    <w:p>
      <w:pPr>
        <w:pStyle w:val="Heading1"/>
      </w:pPr>
      <w:r>
        <w:t>3. Algorithms and model evaluation</w:t>
      </w:r>
    </w:p>
    <w:p>
      <w:pPr>
        <w:pStyle w:val="Heading2"/>
      </w:pPr>
      <w:r>
        <w:rPr>
          <w:b w:val="0"/>
        </w:rPr>
        <w:t>Scientific representation and custom logic</w:t>
      </w:r>
    </w:p>
    <w:p>
      <w:pPr/>
      <w:r>
        <w:rPr>
          <w:b w:val="0"/>
        </w:rPr>
        <w:t>The canonical action order is CIP, NIT, FOS, TMP, GEN, MEC and CAZ. A binary profile uses 0=susceptible and 1=resistant, giving 128 possible states rather than 128 measured isolates. Policy observations contain seven resistance bits, seven previous-action indicators and the step: 15 values. A hard susceptibility mask constrains PPO prediction and DQN exploration, prediction and Bellman-target computation.</w:t>
      </w:r>
    </w:p>
    <w:p>
      <w:pPr/>
      <w:r>
        <w:rPr>
          <w:b w:val="0"/>
        </w:rPr>
        <w:t>The training table contains 30 directed records across 18 pairs; 15 unknown-direction records remain in the evidence registry and are excluded from training. Applicable XR, CS and neutral candidates are deduplicated by target/outcome and sampled uniformly in REF_UNIFORM_SUPPORTED. Empty candidate sets leave the state unchanged and are recorded as unsupported. Transition probabilities are assumptions, not measured clinical probabilities [3,4].</w:t>
      </w:r>
    </w:p>
    <w:p>
      <w:pPr/>
      <w:r>
        <w:rPr>
          <w:b w:val="0"/>
        </w:rPr>
        <w:t>Reward is minus the post-action resistant count divided by seven, with an all-resistant terminal cost carried through the remaining horizon. Horizon=8 and discount=1. Burden is negative return. The baseline samples susceptible actions uniformly. A finite-horizon, memoized dynamic program calculates an exact reference conditional on the same transition model.</w:t>
      </w:r>
    </w:p>
    <w:p>
      <w:pPr>
        <w:pStyle w:val="Heading2"/>
      </w:pPr>
      <w:r>
        <w:rPr>
          <w:b w:val="0"/>
        </w:rPr>
        <w:t>Twenty-replicate comparison</w:t>
      </w:r>
    </w:p>
    <w:p>
      <w:pPr/>
      <w:r>
        <w:rPr>
          <w:b w:val="0"/>
        </w:rPr>
        <w:t>Each PPO and DQN replicate used 100,096 environment interactions; update schedules and compute differ. Training covers all 127 nonterminal profiles; evaluation covers all 128 across five separate RNG blocks. Results are averaged within each training replicate, then across 20 replicates. Evaluation holds out random draws, not profiles. Reused baseline draws are not independent extra baseline replicates [3].</w:t>
      </w:r>
    </w:p>
    <w:tbl>
      <w:tblPr>
        <w:tblW w:type="auto" w:w="0"/>
        <w:jc w:val="left"/>
        <w:tblLayout w:type="fixed"/>
        <w:tblLook w:firstColumn="1" w:firstRow="1" w:lastColumn="0" w:lastRow="0" w:noHBand="0" w:noVBand="1" w:val="04A0"/>
      </w:tblPr>
      <w:tblGrid>
        <w:gridCol w:w="2260"/>
        <w:gridCol w:w="1960"/>
        <w:gridCol w:w="1740"/>
        <w:gridCol w:w="2120"/>
        <w:gridCol w:w="2060"/>
      </w:tblGrid>
      <w:tr>
        <w:trPr>
          <w:cantSplit/>
        </w:trPr>
        <w:tc>
          <w:tcPr>
            <w:tcW w:type="dxa" w:w="2260"/>
            <w:vAlign w:val="top"/>
            <w:shd w:fill="174B5C"/>
            <w:tcMar>
              <w:top w:w="85" w:type="dxa"/>
              <w:bottom w:w="85" w:type="dxa"/>
              <w:left w:w="110" w:type="dxa"/>
              <w:right w:w="110" w:type="dxa"/>
            </w:tcMar>
          </w:tcPr>
          <w:p>
            <w:pPr>
              <w:spacing w:after="0" w:line="208" w:lineRule="exact"/>
            </w:pPr>
            <w:r>
              <w:rPr>
                <w:rFonts w:ascii="Arial" w:hAnsi="Arial"/>
                <w:b/>
                <w:color w:val="FFFFFF"/>
                <w:sz w:val="16"/>
              </w:rPr>
              <w:t>Strategy</w:t>
            </w:r>
          </w:p>
        </w:tc>
        <w:tc>
          <w:tcPr>
            <w:tcW w:type="dxa" w:w="1960"/>
            <w:vAlign w:val="top"/>
            <w:shd w:fill="174B5C"/>
            <w:tcMar>
              <w:top w:w="85" w:type="dxa"/>
              <w:bottom w:w="85" w:type="dxa"/>
              <w:left w:w="110" w:type="dxa"/>
              <w:right w:w="110" w:type="dxa"/>
            </w:tcMar>
          </w:tcPr>
          <w:p>
            <w:pPr>
              <w:spacing w:after="0" w:line="208" w:lineRule="exact"/>
            </w:pPr>
            <w:r>
              <w:rPr>
                <w:rFonts w:ascii="Arial" w:hAnsi="Arial"/>
                <w:b/>
                <w:color w:val="FFFFFF"/>
                <w:sz w:val="16"/>
              </w:rPr>
              <w:t>Burden (lower)</w:t>
            </w:r>
          </w:p>
        </w:tc>
        <w:tc>
          <w:tcPr>
            <w:tcW w:type="dxa" w:w="1740"/>
            <w:vAlign w:val="top"/>
            <w:shd w:fill="174B5C"/>
            <w:tcMar>
              <w:top w:w="85" w:type="dxa"/>
              <w:bottom w:w="85" w:type="dxa"/>
              <w:left w:w="110" w:type="dxa"/>
              <w:right w:w="110" w:type="dxa"/>
            </w:tcMar>
          </w:tcPr>
          <w:p>
            <w:pPr>
              <w:spacing w:after="0" w:line="208" w:lineRule="exact"/>
            </w:pPr>
            <w:r>
              <w:rPr>
                <w:rFonts w:ascii="Arial" w:hAnsi="Arial"/>
                <w:b/>
                <w:color w:val="FFFFFF"/>
                <w:sz w:val="16"/>
              </w:rPr>
              <w:t>Emergence</w:t>
            </w:r>
          </w:p>
        </w:tc>
        <w:tc>
          <w:tcPr>
            <w:tcW w:type="dxa" w:w="2120"/>
            <w:vAlign w:val="top"/>
            <w:shd w:fill="174B5C"/>
            <w:tcMar>
              <w:top w:w="85" w:type="dxa"/>
              <w:bottom w:w="85" w:type="dxa"/>
              <w:left w:w="110" w:type="dxa"/>
              <w:right w:w="110" w:type="dxa"/>
            </w:tcMar>
          </w:tcPr>
          <w:p>
            <w:pPr>
              <w:spacing w:after="0" w:line="208" w:lineRule="exact"/>
            </w:pPr>
            <w:r>
              <w:rPr>
                <w:rFonts w:ascii="Arial" w:hAnsi="Arial"/>
                <w:b/>
                <w:color w:val="FFFFFF"/>
                <w:sz w:val="16"/>
              </w:rPr>
              <w:t>Options (higher)</w:t>
            </w:r>
          </w:p>
        </w:tc>
        <w:tc>
          <w:tcPr>
            <w:tcW w:type="dxa" w:w="2060"/>
            <w:vAlign w:val="top"/>
            <w:shd w:fill="174B5C"/>
            <w:tcMar>
              <w:top w:w="85" w:type="dxa"/>
              <w:bottom w:w="85" w:type="dxa"/>
              <w:left w:w="110" w:type="dxa"/>
              <w:right w:w="110" w:type="dxa"/>
            </w:tcMar>
          </w:tcPr>
          <w:p>
            <w:pPr>
              <w:spacing w:after="0" w:line="208" w:lineRule="exact"/>
            </w:pPr>
            <w:r>
              <w:rPr>
                <w:rFonts w:ascii="Arial" w:hAnsi="Arial"/>
                <w:b/>
                <w:color w:val="FFFFFF"/>
                <w:sz w:val="16"/>
              </w:rPr>
              <w:t>Unsupported steps</w:t>
            </w:r>
          </w:p>
        </w:tc>
      </w:tr>
      <w:tr>
        <w:trPr>
          <w:cantSplit/>
        </w:trPr>
        <w:tc>
          <w:tcPr>
            <w:tcW w:type="dxa" w:w="2260"/>
            <w:vAlign w:val="top"/>
            <w:shd w:fill="FFFFFF"/>
            <w:tcMar>
              <w:top w:w="85" w:type="dxa"/>
              <w:bottom w:w="85" w:type="dxa"/>
              <w:left w:w="110" w:type="dxa"/>
              <w:right w:w="110" w:type="dxa"/>
            </w:tcMar>
          </w:tcPr>
          <w:p>
            <w:pPr>
              <w:spacing w:after="0" w:line="208" w:lineRule="exact"/>
            </w:pPr>
            <w:r>
              <w:rPr>
                <w:rFonts w:ascii="Arial" w:hAnsi="Arial"/>
                <w:b w:val="0"/>
                <w:sz w:val="16"/>
              </w:rPr>
              <w:t>PPO</w:t>
            </w:r>
          </w:p>
        </w:tc>
        <w:tc>
          <w:tcPr>
            <w:tcW w:type="dxa" w:w="1960"/>
            <w:vAlign w:val="top"/>
            <w:shd w:fill="FFFFFF"/>
            <w:tcMar>
              <w:top w:w="85" w:type="dxa"/>
              <w:bottom w:w="85" w:type="dxa"/>
              <w:left w:w="110" w:type="dxa"/>
              <w:right w:w="110" w:type="dxa"/>
            </w:tcMar>
          </w:tcPr>
          <w:p>
            <w:pPr>
              <w:spacing w:after="0" w:line="208" w:lineRule="exact"/>
            </w:pPr>
            <w:r>
              <w:rPr>
                <w:rFonts w:ascii="Arial" w:hAnsi="Arial"/>
                <w:b w:val="0"/>
                <w:sz w:val="16"/>
              </w:rPr>
              <w:t>2.8885</w:t>
            </w:r>
          </w:p>
        </w:tc>
        <w:tc>
          <w:tcPr>
            <w:tcW w:type="dxa" w:w="1740"/>
            <w:vAlign w:val="top"/>
            <w:shd w:fill="FFFFFF"/>
            <w:tcMar>
              <w:top w:w="85" w:type="dxa"/>
              <w:bottom w:w="85" w:type="dxa"/>
              <w:left w:w="110" w:type="dxa"/>
              <w:right w:w="110" w:type="dxa"/>
            </w:tcMar>
          </w:tcPr>
          <w:p>
            <w:pPr>
              <w:spacing w:after="0" w:line="208" w:lineRule="exact"/>
            </w:pPr>
            <w:r>
              <w:rPr>
                <w:rFonts w:ascii="Arial" w:hAnsi="Arial"/>
                <w:b w:val="0"/>
                <w:sz w:val="16"/>
              </w:rPr>
              <w:t>0.5098</w:t>
            </w:r>
          </w:p>
        </w:tc>
        <w:tc>
          <w:tcPr>
            <w:tcW w:type="dxa" w:w="2120"/>
            <w:vAlign w:val="top"/>
            <w:shd w:fill="FFFFFF"/>
            <w:tcMar>
              <w:top w:w="85" w:type="dxa"/>
              <w:bottom w:w="85" w:type="dxa"/>
              <w:left w:w="110" w:type="dxa"/>
              <w:right w:w="110" w:type="dxa"/>
            </w:tcMar>
          </w:tcPr>
          <w:p>
            <w:pPr>
              <w:spacing w:after="0" w:line="208" w:lineRule="exact"/>
            </w:pPr>
            <w:r>
              <w:rPr>
                <w:rFonts w:ascii="Arial" w:hAnsi="Arial"/>
                <w:b w:val="0"/>
                <w:sz w:val="16"/>
              </w:rPr>
              <w:t>4.8802</w:t>
            </w:r>
          </w:p>
        </w:tc>
        <w:tc>
          <w:tcPr>
            <w:tcW w:type="dxa" w:w="2060"/>
            <w:vAlign w:val="top"/>
            <w:shd w:fill="FFFFFF"/>
            <w:tcMar>
              <w:top w:w="85" w:type="dxa"/>
              <w:bottom w:w="85" w:type="dxa"/>
              <w:left w:w="110" w:type="dxa"/>
              <w:right w:w="110" w:type="dxa"/>
            </w:tcMar>
          </w:tcPr>
          <w:p>
            <w:pPr>
              <w:spacing w:after="0" w:line="208" w:lineRule="exact"/>
            </w:pPr>
            <w:r>
              <w:rPr>
                <w:rFonts w:ascii="Arial" w:hAnsi="Arial"/>
                <w:b w:val="0"/>
                <w:sz w:val="16"/>
              </w:rPr>
              <w:t>2.8633</w:t>
            </w:r>
          </w:p>
        </w:tc>
      </w:tr>
      <w:tr>
        <w:trPr>
          <w:cantSplit/>
        </w:trPr>
        <w:tc>
          <w:tcPr>
            <w:tcW w:type="dxa" w:w="2260"/>
            <w:vAlign w:val="top"/>
            <w:shd w:fill="F1F5F7"/>
            <w:tcMar>
              <w:top w:w="85" w:type="dxa"/>
              <w:bottom w:w="85" w:type="dxa"/>
              <w:left w:w="110" w:type="dxa"/>
              <w:right w:w="110" w:type="dxa"/>
            </w:tcMar>
          </w:tcPr>
          <w:p>
            <w:pPr>
              <w:spacing w:after="0" w:line="208" w:lineRule="exact"/>
            </w:pPr>
            <w:r>
              <w:rPr>
                <w:rFonts w:ascii="Arial" w:hAnsi="Arial"/>
                <w:b w:val="0"/>
                <w:sz w:val="16"/>
              </w:rPr>
              <w:t>DQN</w:t>
            </w:r>
          </w:p>
        </w:tc>
        <w:tc>
          <w:tcPr>
            <w:tcW w:type="dxa" w:w="1960"/>
            <w:vAlign w:val="top"/>
            <w:shd w:fill="F1F5F7"/>
            <w:tcMar>
              <w:top w:w="85" w:type="dxa"/>
              <w:bottom w:w="85" w:type="dxa"/>
              <w:left w:w="110" w:type="dxa"/>
              <w:right w:w="110" w:type="dxa"/>
            </w:tcMar>
          </w:tcPr>
          <w:p>
            <w:pPr>
              <w:spacing w:after="0" w:line="208" w:lineRule="exact"/>
            </w:pPr>
            <w:r>
              <w:rPr>
                <w:rFonts w:ascii="Arial" w:hAnsi="Arial"/>
                <w:b w:val="0"/>
                <w:sz w:val="16"/>
              </w:rPr>
              <w:t>2.8835</w:t>
            </w:r>
          </w:p>
        </w:tc>
        <w:tc>
          <w:tcPr>
            <w:tcW w:type="dxa" w:w="1740"/>
            <w:vAlign w:val="top"/>
            <w:shd w:fill="F1F5F7"/>
            <w:tcMar>
              <w:top w:w="85" w:type="dxa"/>
              <w:bottom w:w="85" w:type="dxa"/>
              <w:left w:w="110" w:type="dxa"/>
              <w:right w:w="110" w:type="dxa"/>
            </w:tcMar>
          </w:tcPr>
          <w:p>
            <w:pPr>
              <w:spacing w:after="0" w:line="208" w:lineRule="exact"/>
            </w:pPr>
            <w:r>
              <w:rPr>
                <w:rFonts w:ascii="Arial" w:hAnsi="Arial"/>
                <w:b w:val="0"/>
                <w:sz w:val="16"/>
              </w:rPr>
              <w:t>0.5234</w:t>
            </w:r>
          </w:p>
        </w:tc>
        <w:tc>
          <w:tcPr>
            <w:tcW w:type="dxa" w:w="2120"/>
            <w:vAlign w:val="top"/>
            <w:shd w:fill="F1F5F7"/>
            <w:tcMar>
              <w:top w:w="85" w:type="dxa"/>
              <w:bottom w:w="85" w:type="dxa"/>
              <w:left w:w="110" w:type="dxa"/>
              <w:right w:w="110" w:type="dxa"/>
            </w:tcMar>
          </w:tcPr>
          <w:p>
            <w:pPr>
              <w:spacing w:after="0" w:line="208" w:lineRule="exact"/>
            </w:pPr>
            <w:r>
              <w:rPr>
                <w:rFonts w:ascii="Arial" w:hAnsi="Arial"/>
                <w:b w:val="0"/>
                <w:sz w:val="16"/>
              </w:rPr>
              <w:t>4.8816</w:t>
            </w:r>
          </w:p>
        </w:tc>
        <w:tc>
          <w:tcPr>
            <w:tcW w:type="dxa" w:w="2060"/>
            <w:vAlign w:val="top"/>
            <w:shd w:fill="F1F5F7"/>
            <w:tcMar>
              <w:top w:w="85" w:type="dxa"/>
              <w:bottom w:w="85" w:type="dxa"/>
              <w:left w:w="110" w:type="dxa"/>
              <w:right w:w="110" w:type="dxa"/>
            </w:tcMar>
          </w:tcPr>
          <w:p>
            <w:pPr>
              <w:spacing w:after="0" w:line="208" w:lineRule="exact"/>
            </w:pPr>
            <w:r>
              <w:rPr>
                <w:rFonts w:ascii="Arial" w:hAnsi="Arial"/>
                <w:b w:val="0"/>
                <w:sz w:val="16"/>
              </w:rPr>
              <w:t>2.3258</w:t>
            </w:r>
          </w:p>
        </w:tc>
      </w:tr>
      <w:tr>
        <w:trPr>
          <w:cantSplit/>
        </w:trPr>
        <w:tc>
          <w:tcPr>
            <w:tcW w:type="dxa" w:w="2260"/>
            <w:vAlign w:val="top"/>
            <w:shd w:fill="FFFFFF"/>
            <w:tcMar>
              <w:top w:w="85" w:type="dxa"/>
              <w:bottom w:w="85" w:type="dxa"/>
              <w:left w:w="110" w:type="dxa"/>
              <w:right w:w="110" w:type="dxa"/>
            </w:tcMar>
          </w:tcPr>
          <w:p>
            <w:pPr>
              <w:spacing w:after="0" w:line="208" w:lineRule="exact"/>
            </w:pPr>
            <w:r>
              <w:rPr>
                <w:rFonts w:ascii="Arial" w:hAnsi="Arial"/>
                <w:b w:val="0"/>
                <w:sz w:val="16"/>
              </w:rPr>
              <w:t>Random baseline</w:t>
            </w:r>
          </w:p>
        </w:tc>
        <w:tc>
          <w:tcPr>
            <w:tcW w:type="dxa" w:w="1960"/>
            <w:vAlign w:val="top"/>
            <w:shd w:fill="FFFFFF"/>
            <w:tcMar>
              <w:top w:w="85" w:type="dxa"/>
              <w:bottom w:w="85" w:type="dxa"/>
              <w:left w:w="110" w:type="dxa"/>
              <w:right w:w="110" w:type="dxa"/>
            </w:tcMar>
          </w:tcPr>
          <w:p>
            <w:pPr>
              <w:spacing w:after="0" w:line="208" w:lineRule="exact"/>
            </w:pPr>
            <w:r>
              <w:rPr>
                <w:rFonts w:ascii="Arial" w:hAnsi="Arial"/>
                <w:b w:val="0"/>
                <w:sz w:val="16"/>
              </w:rPr>
              <w:t>3.7768</w:t>
            </w:r>
          </w:p>
        </w:tc>
        <w:tc>
          <w:tcPr>
            <w:tcW w:type="dxa" w:w="1740"/>
            <w:vAlign w:val="top"/>
            <w:shd w:fill="FFFFFF"/>
            <w:tcMar>
              <w:top w:w="85" w:type="dxa"/>
              <w:bottom w:w="85" w:type="dxa"/>
              <w:left w:w="110" w:type="dxa"/>
              <w:right w:w="110" w:type="dxa"/>
            </w:tcMar>
          </w:tcPr>
          <w:p>
            <w:pPr>
              <w:spacing w:after="0" w:line="208" w:lineRule="exact"/>
            </w:pPr>
            <w:r>
              <w:rPr>
                <w:rFonts w:ascii="Arial" w:hAnsi="Arial"/>
                <w:b w:val="0"/>
                <w:sz w:val="16"/>
              </w:rPr>
              <w:t>1.1516</w:t>
            </w:r>
          </w:p>
        </w:tc>
        <w:tc>
          <w:tcPr>
            <w:tcW w:type="dxa" w:w="2120"/>
            <w:vAlign w:val="top"/>
            <w:shd w:fill="FFFFFF"/>
            <w:tcMar>
              <w:top w:w="85" w:type="dxa"/>
              <w:bottom w:w="85" w:type="dxa"/>
              <w:left w:w="110" w:type="dxa"/>
              <w:right w:w="110" w:type="dxa"/>
            </w:tcMar>
          </w:tcPr>
          <w:p>
            <w:pPr>
              <w:spacing w:after="0" w:line="208" w:lineRule="exact"/>
            </w:pPr>
            <w:r>
              <w:rPr>
                <w:rFonts w:ascii="Arial" w:hAnsi="Arial"/>
                <w:b w:val="0"/>
                <w:sz w:val="16"/>
              </w:rPr>
              <w:t>3.7484</w:t>
            </w:r>
          </w:p>
        </w:tc>
        <w:tc>
          <w:tcPr>
            <w:tcW w:type="dxa" w:w="2060"/>
            <w:vAlign w:val="top"/>
            <w:shd w:fill="FFFFFF"/>
            <w:tcMar>
              <w:top w:w="85" w:type="dxa"/>
              <w:bottom w:w="85" w:type="dxa"/>
              <w:left w:w="110" w:type="dxa"/>
              <w:right w:w="110" w:type="dxa"/>
            </w:tcMar>
          </w:tcPr>
          <w:p>
            <w:pPr>
              <w:spacing w:after="0" w:line="208" w:lineRule="exact"/>
            </w:pPr>
            <w:r>
              <w:rPr>
                <w:rFonts w:ascii="Arial" w:hAnsi="Arial"/>
                <w:b w:val="0"/>
                <w:sz w:val="16"/>
              </w:rPr>
              <w:t>1.6266</w:t>
            </w:r>
          </w:p>
        </w:tc>
      </w:tr>
    </w:tbl>
    <w:p>
      <w:pPr>
        <w:spacing w:after="0" w:line="60" w:lineRule="exact"/>
      </w:pPr>
      <w:r>
        <w:rPr>
          <w:sz w:val="6"/>
        </w:rPr>
      </w:r>
    </w:p>
    <w:p>
      <w:r>
        <w:drawing>
          <wp:inline xmlns:a="http://schemas.openxmlformats.org/drawingml/2006/main" xmlns:pic="http://schemas.openxmlformats.org/drawingml/2006/picture">
            <wp:extent cx="6223000" cy="1193800"/>
            <wp:docPr id="2" name="Picture 2"/>
            <wp:cNvGraphicFramePr>
              <a:graphicFrameLocks noChangeAspect="1"/>
            </wp:cNvGraphicFramePr>
            <a:graphic>
              <a:graphicData uri="http://schemas.openxmlformats.org/drawingml/2006/picture">
                <pic:pic>
                  <pic:nvPicPr>
                    <pic:cNvPr id="0" name="paired-interval.png"/>
                    <pic:cNvPicPr/>
                  </pic:nvPicPr>
                  <pic:blipFill>
                    <a:blip r:embed="rId12"/>
                    <a:stretch>
                      <a:fillRect/>
                    </a:stretch>
                  </pic:blipFill>
                  <pic:spPr>
                    <a:xfrm>
                      <a:off x="0" y="0"/>
                      <a:ext cx="6223000" cy="1193800"/>
                    </a:xfrm>
                    <a:prstGeom prst="rect"/>
                  </pic:spPr>
                </pic:pic>
              </a:graphicData>
            </a:graphic>
          </wp:inline>
        </w:drawing>
      </w:r>
    </w:p>
    <w:p>
      <w:pPr>
        <w:spacing w:line="200" w:lineRule="exact"/>
      </w:pPr>
      <w:r>
        <w:rPr>
          <w:i/>
          <w:sz w:val="15"/>
        </w:rPr>
        <w:t>Figure 2. Paired mean burden difference across 20 training replicates. The interval includes zero; negative values favor DQN.</w:t>
      </w:r>
    </w:p>
    <w:p>
      <w:pPr/>
      <w:r>
        <w:rPr>
          <w:b w:val="0"/>
        </w:rPr>
        <w:t>DQN minus PPO mean burden was -0.00497, with a 95% Student-t interval of [-0.02212, 0.01219]. Ten seeds favored each policy. The analyzer flags strong skew, so this interval is approximate. These results do not establish algorithm superiority or equivalence. Both have lower recorded mean burden than this baseline within the assumed environment.</w:t>
      </w:r>
    </w:p>
    <w:p>
      <w:pPr/>
      <w:r>
        <w:rPr>
          <w:b w:val="0"/>
        </w:rPr>
        <w:t>All strategies have exposure 7.9375 and susceptible-action rate 1.0 in the aggregate: the terminal profile has zero actions while other episodes reach eight. These are contextual/mask checks, not evidence of clinical success. The app freezes PPO seed 19000 and DQN seed 15000 after fresh validation and separate confirmation draws. Selection identifies deployment checkpoints, not an overall algorithm winner.</w:t>
      </w:r>
    </w:p>
    <w:p>
      <w:r>
        <w:br w:type="page"/>
      </w:r>
    </w:p>
    <w:p>
      <w:pPr>
        <w:pStyle w:val="Heading1"/>
      </w:pPr>
      <w:r>
        <w:t>4. Testing, validation and performance</w:t>
      </w:r>
    </w:p>
    <w:p>
      <w:pPr/>
      <w:r>
        <w:rPr>
          <w:b w:val="0"/>
        </w:rPr>
        <w:t>Verification combines component-level tests, cross-service integration and model-specific audits. Counts below are the latest completed local checks on 24 October 2026, not a claim about a hosted CI run or code-coverage percentage [3].</w:t>
      </w:r>
    </w:p>
    <w:tbl>
      <w:tblPr>
        <w:tblW w:type="auto" w:w="0"/>
        <w:jc w:val="left"/>
        <w:tblLayout w:type="fixed"/>
        <w:tblLook w:firstColumn="1" w:firstRow="1" w:lastColumn="0" w:lastRow="0" w:noHBand="0" w:noVBand="1" w:val="04A0"/>
      </w:tblPr>
      <w:tblGrid>
        <w:gridCol w:w="3020"/>
        <w:gridCol w:w="940"/>
        <w:gridCol w:w="6180"/>
      </w:tblGrid>
      <w:tr>
        <w:trPr>
          <w:cantSplit/>
        </w:trPr>
        <w:tc>
          <w:tcPr>
            <w:tcW w:type="dxa" w:w="3020"/>
            <w:vAlign w:val="top"/>
            <w:shd w:fill="174B5C"/>
            <w:tcMar>
              <w:top w:w="85" w:type="dxa"/>
              <w:bottom w:w="85" w:type="dxa"/>
              <w:left w:w="110" w:type="dxa"/>
              <w:right w:w="110" w:type="dxa"/>
            </w:tcMar>
          </w:tcPr>
          <w:p>
            <w:pPr>
              <w:spacing w:after="0" w:line="208" w:lineRule="exact"/>
            </w:pPr>
            <w:r>
              <w:rPr>
                <w:rFonts w:ascii="Arial" w:hAnsi="Arial"/>
                <w:b/>
                <w:color w:val="FFFFFF"/>
                <w:sz w:val="16"/>
              </w:rPr>
              <w:t>Approach / suite</w:t>
            </w:r>
          </w:p>
        </w:tc>
        <w:tc>
          <w:tcPr>
            <w:tcW w:type="dxa" w:w="940"/>
            <w:vAlign w:val="top"/>
            <w:shd w:fill="174B5C"/>
            <w:tcMar>
              <w:top w:w="85" w:type="dxa"/>
              <w:bottom w:w="85" w:type="dxa"/>
              <w:left w:w="110" w:type="dxa"/>
              <w:right w:w="110" w:type="dxa"/>
            </w:tcMar>
          </w:tcPr>
          <w:p>
            <w:pPr>
              <w:spacing w:after="0" w:line="208" w:lineRule="exact"/>
            </w:pPr>
            <w:r>
              <w:rPr>
                <w:rFonts w:ascii="Arial" w:hAnsi="Arial"/>
                <w:b/>
                <w:color w:val="FFFFFF"/>
                <w:sz w:val="16"/>
              </w:rPr>
              <w:t>Passed</w:t>
            </w:r>
          </w:p>
        </w:tc>
        <w:tc>
          <w:tcPr>
            <w:tcW w:type="dxa" w:w="6180"/>
            <w:vAlign w:val="top"/>
            <w:shd w:fill="174B5C"/>
            <w:tcMar>
              <w:top w:w="85" w:type="dxa"/>
              <w:bottom w:w="85" w:type="dxa"/>
              <w:left w:w="110" w:type="dxa"/>
              <w:right w:w="110" w:type="dxa"/>
            </w:tcMar>
          </w:tcPr>
          <w:p>
            <w:pPr>
              <w:spacing w:after="0" w:line="208" w:lineRule="exact"/>
            </w:pPr>
            <w:r>
              <w:rPr>
                <w:rFonts w:ascii="Arial" w:hAnsi="Arial"/>
                <w:b/>
                <w:color w:val="FFFFFF"/>
                <w:sz w:val="16"/>
              </w:rPr>
              <w:t>Purpose and representative coverage</w:t>
            </w:r>
          </w:p>
        </w:tc>
      </w:tr>
      <w:tr>
        <w:trPr>
          <w:cantSplit/>
        </w:trPr>
        <w:tc>
          <w:tcPr>
            <w:tcW w:type="dxa" w:w="3020"/>
            <w:vAlign w:val="top"/>
            <w:shd w:fill="FFFFFF"/>
            <w:tcMar>
              <w:top w:w="85" w:type="dxa"/>
              <w:bottom w:w="85" w:type="dxa"/>
              <w:left w:w="110" w:type="dxa"/>
              <w:right w:w="110" w:type="dxa"/>
            </w:tcMar>
          </w:tcPr>
          <w:p>
            <w:pPr>
              <w:spacing w:after="0" w:line="208" w:lineRule="exact"/>
            </w:pPr>
            <w:r>
              <w:rPr>
                <w:rFonts w:ascii="Arial" w:hAnsi="Arial"/>
                <w:b w:val="0"/>
                <w:sz w:val="16"/>
              </w:rPr>
              <w:t>Python</w:t>
            </w:r>
          </w:p>
        </w:tc>
        <w:tc>
          <w:tcPr>
            <w:tcW w:type="dxa" w:w="940"/>
            <w:vAlign w:val="top"/>
            <w:shd w:fill="FFFFFF"/>
            <w:tcMar>
              <w:top w:w="85" w:type="dxa"/>
              <w:bottom w:w="85" w:type="dxa"/>
              <w:left w:w="110" w:type="dxa"/>
              <w:right w:w="110" w:type="dxa"/>
            </w:tcMar>
          </w:tcPr>
          <w:p>
            <w:pPr>
              <w:spacing w:after="0" w:line="208" w:lineRule="exact"/>
            </w:pPr>
            <w:r>
              <w:rPr>
                <w:rFonts w:ascii="Arial" w:hAnsi="Arial"/>
                <w:b w:val="0"/>
                <w:sz w:val="16"/>
              </w:rPr>
              <w:t>499</w:t>
            </w:r>
          </w:p>
        </w:tc>
        <w:tc>
          <w:tcPr>
            <w:tcW w:type="dxa" w:w="6180"/>
            <w:vAlign w:val="top"/>
            <w:shd w:fill="FFFFFF"/>
            <w:tcMar>
              <w:top w:w="85" w:type="dxa"/>
              <w:bottom w:w="85" w:type="dxa"/>
              <w:left w:w="110" w:type="dxa"/>
              <w:right w:w="110" w:type="dxa"/>
            </w:tcMar>
          </w:tcPr>
          <w:p>
            <w:pPr>
              <w:spacing w:after="0" w:line="208" w:lineRule="exact"/>
            </w:pPr>
            <w:r>
              <w:rPr>
                <w:rFonts w:ascii="Arial" w:hAnsi="Arial"/>
                <w:b w:val="0"/>
                <w:sz w:val="16"/>
              </w:rPr>
              <w:t>State/observation encoding, rewards, transitions, masks, training, inference and data integrity.</w:t>
            </w:r>
          </w:p>
        </w:tc>
      </w:tr>
      <w:tr>
        <w:trPr>
          <w:cantSplit/>
        </w:trPr>
        <w:tc>
          <w:tcPr>
            <w:tcW w:type="dxa" w:w="3020"/>
            <w:vAlign w:val="top"/>
            <w:shd w:fill="F1F5F7"/>
            <w:tcMar>
              <w:top w:w="85" w:type="dxa"/>
              <w:bottom w:w="85" w:type="dxa"/>
              <w:left w:w="110" w:type="dxa"/>
              <w:right w:w="110" w:type="dxa"/>
            </w:tcMar>
          </w:tcPr>
          <w:p>
            <w:pPr>
              <w:spacing w:after="0" w:line="208" w:lineRule="exact"/>
            </w:pPr>
            <w:r>
              <w:rPr>
                <w:rFonts w:ascii="Arial" w:hAnsi="Arial"/>
                <w:b w:val="0"/>
                <w:sz w:val="16"/>
              </w:rPr>
              <w:t>Frontend component / functional</w:t>
            </w:r>
          </w:p>
        </w:tc>
        <w:tc>
          <w:tcPr>
            <w:tcW w:type="dxa" w:w="940"/>
            <w:vAlign w:val="top"/>
            <w:shd w:fill="F1F5F7"/>
            <w:tcMar>
              <w:top w:w="85" w:type="dxa"/>
              <w:bottom w:w="85" w:type="dxa"/>
              <w:left w:w="110" w:type="dxa"/>
              <w:right w:w="110" w:type="dxa"/>
            </w:tcMar>
          </w:tcPr>
          <w:p>
            <w:pPr>
              <w:spacing w:after="0" w:line="208" w:lineRule="exact"/>
            </w:pPr>
            <w:r>
              <w:rPr>
                <w:rFonts w:ascii="Arial" w:hAnsi="Arial"/>
                <w:b w:val="0"/>
                <w:sz w:val="16"/>
              </w:rPr>
              <w:t>124</w:t>
            </w:r>
          </w:p>
        </w:tc>
        <w:tc>
          <w:tcPr>
            <w:tcW w:type="dxa" w:w="6180"/>
            <w:vAlign w:val="top"/>
            <w:shd w:fill="F1F5F7"/>
            <w:tcMar>
              <w:top w:w="85" w:type="dxa"/>
              <w:bottom w:w="85" w:type="dxa"/>
              <w:left w:w="110" w:type="dxa"/>
              <w:right w:w="110" w:type="dxa"/>
            </w:tcMar>
          </w:tcPr>
          <w:p>
            <w:pPr>
              <w:spacing w:after="0" w:line="208" w:lineRule="exact"/>
            </w:pPr>
            <w:r>
              <w:rPr>
                <w:rFonts w:ascii="Arial" w:hAnsi="Arial"/>
                <w:b w:val="0"/>
                <w:sz w:val="16"/>
              </w:rPr>
              <w:t>Profile input, navigation, authentication, result schemas, samples, Insights and exports; mocked HTTP.</w:t>
            </w:r>
          </w:p>
        </w:tc>
      </w:tr>
      <w:tr>
        <w:trPr>
          <w:cantSplit/>
        </w:trPr>
        <w:tc>
          <w:tcPr>
            <w:tcW w:type="dxa" w:w="3020"/>
            <w:vAlign w:val="top"/>
            <w:shd w:fill="FFFFFF"/>
            <w:tcMar>
              <w:top w:w="85" w:type="dxa"/>
              <w:bottom w:w="85" w:type="dxa"/>
              <w:left w:w="110" w:type="dxa"/>
              <w:right w:w="110" w:type="dxa"/>
            </w:tcMar>
          </w:tcPr>
          <w:p>
            <w:pPr>
              <w:spacing w:after="0" w:line="208" w:lineRule="exact"/>
            </w:pPr>
            <w:r>
              <w:rPr>
                <w:rFonts w:ascii="Arial" w:hAnsi="Arial"/>
                <w:b w:val="0"/>
                <w:sz w:val="16"/>
              </w:rPr>
              <w:t>.NET unit</w:t>
            </w:r>
          </w:p>
        </w:tc>
        <w:tc>
          <w:tcPr>
            <w:tcW w:type="dxa" w:w="940"/>
            <w:vAlign w:val="top"/>
            <w:shd w:fill="FFFFFF"/>
            <w:tcMar>
              <w:top w:w="85" w:type="dxa"/>
              <w:bottom w:w="85" w:type="dxa"/>
              <w:left w:w="110" w:type="dxa"/>
              <w:right w:w="110" w:type="dxa"/>
            </w:tcMar>
          </w:tcPr>
          <w:p>
            <w:pPr>
              <w:spacing w:after="0" w:line="208" w:lineRule="exact"/>
            </w:pPr>
            <w:r>
              <w:rPr>
                <w:rFonts w:ascii="Arial" w:hAnsi="Arial"/>
                <w:b w:val="0"/>
                <w:sz w:val="16"/>
              </w:rPr>
              <w:t>281</w:t>
            </w:r>
          </w:p>
        </w:tc>
        <w:tc>
          <w:tcPr>
            <w:tcW w:type="dxa" w:w="6180"/>
            <w:vAlign w:val="top"/>
            <w:shd w:fill="FFFFFF"/>
            <w:tcMar>
              <w:top w:w="85" w:type="dxa"/>
              <w:bottom w:w="85" w:type="dxa"/>
              <w:left w:w="110" w:type="dxa"/>
              <w:right w:w="110" w:type="dxa"/>
            </w:tcMar>
          </w:tcPr>
          <w:p>
            <w:pPr>
              <w:spacing w:after="0" w:line="208" w:lineRule="exact"/>
            </w:pPr>
            <w:r>
              <w:rPr>
                <w:rFonts w:ascii="Arial" w:hAnsi="Arial"/>
                <w:b w:val="0"/>
                <w:sz w:val="16"/>
              </w:rPr>
              <w:t>Application logic, mappings, contracts, validation, authentication and architecture rules.</w:t>
            </w:r>
          </w:p>
        </w:tc>
      </w:tr>
      <w:tr>
        <w:trPr>
          <w:cantSplit/>
        </w:trPr>
        <w:tc>
          <w:tcPr>
            <w:tcW w:type="dxa" w:w="3020"/>
            <w:vAlign w:val="top"/>
            <w:shd w:fill="F1F5F7"/>
            <w:tcMar>
              <w:top w:w="85" w:type="dxa"/>
              <w:bottom w:w="85" w:type="dxa"/>
              <w:left w:w="110" w:type="dxa"/>
              <w:right w:w="110" w:type="dxa"/>
            </w:tcMar>
          </w:tcPr>
          <w:p>
            <w:pPr>
              <w:spacing w:after="0" w:line="208" w:lineRule="exact"/>
            </w:pPr>
            <w:r>
              <w:rPr>
                <w:rFonts w:ascii="Arial" w:hAnsi="Arial"/>
                <w:b w:val="0"/>
                <w:sz w:val="16"/>
              </w:rPr>
              <w:t>.NET integration</w:t>
            </w:r>
          </w:p>
        </w:tc>
        <w:tc>
          <w:tcPr>
            <w:tcW w:type="dxa" w:w="940"/>
            <w:vAlign w:val="top"/>
            <w:shd w:fill="F1F5F7"/>
            <w:tcMar>
              <w:top w:w="85" w:type="dxa"/>
              <w:bottom w:w="85" w:type="dxa"/>
              <w:left w:w="110" w:type="dxa"/>
              <w:right w:w="110" w:type="dxa"/>
            </w:tcMar>
          </w:tcPr>
          <w:p>
            <w:pPr>
              <w:spacing w:after="0" w:line="208" w:lineRule="exact"/>
            </w:pPr>
            <w:r>
              <w:rPr>
                <w:rFonts w:ascii="Arial" w:hAnsi="Arial"/>
                <w:b w:val="0"/>
                <w:sz w:val="16"/>
              </w:rPr>
              <w:t>274</w:t>
            </w:r>
          </w:p>
        </w:tc>
        <w:tc>
          <w:tcPr>
            <w:tcW w:type="dxa" w:w="6180"/>
            <w:vAlign w:val="top"/>
            <w:shd w:fill="F1F5F7"/>
            <w:tcMar>
              <w:top w:w="85" w:type="dxa"/>
              <w:bottom w:w="85" w:type="dxa"/>
              <w:left w:w="110" w:type="dxa"/>
              <w:right w:w="110" w:type="dxa"/>
            </w:tcMar>
          </w:tcPr>
          <w:p>
            <w:pPr>
              <w:spacing w:after="0" w:line="208" w:lineRule="exact"/>
            </w:pPr>
            <w:r>
              <w:rPr>
                <w:rFonts w:ascii="Arial" w:hAnsi="Arial"/>
                <w:b w:val="0"/>
                <w:sz w:val="16"/>
              </w:rPr>
              <w:t>Controllers, PostgreSQL ownership, migrations, schema constraints and saved-run retrieval.</w:t>
            </w:r>
          </w:p>
        </w:tc>
      </w:tr>
      <w:tr>
        <w:trPr>
          <w:cantSplit/>
        </w:trPr>
        <w:tc>
          <w:tcPr>
            <w:tcW w:type="dxa" w:w="3020"/>
            <w:vAlign w:val="top"/>
            <w:shd w:fill="FFFFFF"/>
            <w:tcMar>
              <w:top w:w="85" w:type="dxa"/>
              <w:bottom w:w="85" w:type="dxa"/>
              <w:left w:w="110" w:type="dxa"/>
              <w:right w:w="110" w:type="dxa"/>
            </w:tcMar>
          </w:tcPr>
          <w:p>
            <w:pPr>
              <w:spacing w:after="0" w:line="208" w:lineRule="exact"/>
            </w:pPr>
            <w:r>
              <w:rPr>
                <w:rFonts w:ascii="Arial" w:hAnsi="Arial"/>
                <w:b w:val="0"/>
                <w:sz w:val="16"/>
              </w:rPr>
              <w:t>Live integration</w:t>
            </w:r>
          </w:p>
        </w:tc>
        <w:tc>
          <w:tcPr>
            <w:tcW w:type="dxa" w:w="940"/>
            <w:vAlign w:val="top"/>
            <w:shd w:fill="FFFFFF"/>
            <w:tcMar>
              <w:top w:w="85" w:type="dxa"/>
              <w:bottom w:w="85" w:type="dxa"/>
              <w:left w:w="110" w:type="dxa"/>
              <w:right w:w="110" w:type="dxa"/>
            </w:tcMar>
          </w:tcPr>
          <w:p>
            <w:pPr>
              <w:spacing w:after="0" w:line="208" w:lineRule="exact"/>
            </w:pPr>
            <w:r>
              <w:rPr>
                <w:rFonts w:ascii="Arial" w:hAnsi="Arial"/>
                <w:b w:val="0"/>
                <w:sz w:val="16"/>
              </w:rPr>
              <w:t>10</w:t>
            </w:r>
          </w:p>
        </w:tc>
        <w:tc>
          <w:tcPr>
            <w:tcW w:type="dxa" w:w="6180"/>
            <w:vAlign w:val="top"/>
            <w:shd w:fill="FFFFFF"/>
            <w:tcMar>
              <w:top w:w="85" w:type="dxa"/>
              <w:bottom w:w="85" w:type="dxa"/>
              <w:left w:w="110" w:type="dxa"/>
              <w:right w:w="110" w:type="dxa"/>
            </w:tcMar>
          </w:tcPr>
          <w:p>
            <w:pPr>
              <w:spacing w:after="0" w:line="208" w:lineRule="exact"/>
            </w:pPr>
            <w:r>
              <w:rPr>
                <w:rFonts w:ascii="Arial" w:hAnsi="Arial"/>
                <w:b w:val="0"/>
                <w:sz w:val="16"/>
              </w:rPr>
              <w:t>Real Python service through the .NET API layer with real PostgreSQL; distinct from a browser automation test.</w:t>
            </w:r>
          </w:p>
        </w:tc>
      </w:tr>
      <w:tr>
        <w:trPr>
          <w:cantSplit/>
        </w:trPr>
        <w:tc>
          <w:tcPr>
            <w:tcW w:type="dxa" w:w="3020"/>
            <w:vAlign w:val="top"/>
            <w:shd w:fill="F1F5F7"/>
            <w:tcMar>
              <w:top w:w="85" w:type="dxa"/>
              <w:bottom w:w="85" w:type="dxa"/>
              <w:left w:w="110" w:type="dxa"/>
              <w:right w:w="110" w:type="dxa"/>
            </w:tcMar>
          </w:tcPr>
          <w:p>
            <w:pPr>
              <w:spacing w:after="0" w:line="208" w:lineRule="exact"/>
            </w:pPr>
            <w:r>
              <w:rPr>
                <w:rFonts w:ascii="Arial" w:hAnsi="Arial"/>
                <w:b w:val="0"/>
                <w:sz w:val="16"/>
              </w:rPr>
              <w:t>Total</w:t>
            </w:r>
          </w:p>
        </w:tc>
        <w:tc>
          <w:tcPr>
            <w:tcW w:type="dxa" w:w="940"/>
            <w:vAlign w:val="top"/>
            <w:shd w:fill="F1F5F7"/>
            <w:tcMar>
              <w:top w:w="85" w:type="dxa"/>
              <w:bottom w:w="85" w:type="dxa"/>
              <w:left w:w="110" w:type="dxa"/>
              <w:right w:w="110" w:type="dxa"/>
            </w:tcMar>
          </w:tcPr>
          <w:p>
            <w:pPr>
              <w:spacing w:after="0" w:line="208" w:lineRule="exact"/>
            </w:pPr>
            <w:r>
              <w:rPr>
                <w:rFonts w:ascii="Arial" w:hAnsi="Arial"/>
                <w:b w:val="0"/>
                <w:sz w:val="16"/>
              </w:rPr>
              <w:t>1,188</w:t>
            </w:r>
          </w:p>
        </w:tc>
        <w:tc>
          <w:tcPr>
            <w:tcW w:type="dxa" w:w="6180"/>
            <w:vAlign w:val="top"/>
            <w:shd w:fill="F1F5F7"/>
            <w:tcMar>
              <w:top w:w="85" w:type="dxa"/>
              <w:bottom w:w="85" w:type="dxa"/>
              <w:left w:w="110" w:type="dxa"/>
              <w:right w:w="110" w:type="dxa"/>
            </w:tcMar>
          </w:tcPr>
          <w:p>
            <w:pPr>
              <w:spacing w:after="0" w:line="208" w:lineRule="exact"/>
            </w:pPr>
            <w:r>
              <w:rPr>
                <w:rFonts w:ascii="Arial" w:hAnsi="Arial"/>
                <w:b w:val="0"/>
                <w:sz w:val="16"/>
              </w:rPr>
              <w:t>All passed; frontend build/lint, .NET warning-as-error build, data check and 13/13 frozen checksums also passed.</w:t>
            </w:r>
          </w:p>
        </w:tc>
      </w:tr>
    </w:tbl>
    <w:p>
      <w:pPr>
        <w:spacing w:after="0" w:line="60" w:lineRule="exact"/>
      </w:pPr>
      <w:r>
        <w:rPr>
          <w:sz w:val="6"/>
        </w:rPr>
      </w:r>
    </w:p>
    <w:p>
      <w:pPr>
        <w:pStyle w:val="Heading2"/>
      </w:pPr>
      <w:r>
        <w:rPr>
          <w:b w:val="0"/>
        </w:rPr>
        <w:t>Why these approaches were selected</w:t>
      </w:r>
    </w:p>
    <w:p>
      <w:pPr/>
      <w:r>
        <w:rPr>
          <w:b/>
        </w:rPr>
        <w:t>Unit/model tests</w:t>
      </w:r>
      <w:r>
        <w:rPr>
          <w:b w:val="0"/>
        </w:rPr>
        <w:t xml:space="preserve"> isolate scientific and validation rules that visual inspection could miss: invalid action masks, terminal-tail costs and unsupported transitions. </w:t>
      </w:r>
      <w:r>
        <w:rPr>
          <w:b/>
        </w:rPr>
        <w:t>Integration/live tests</w:t>
      </w:r>
      <w:r>
        <w:rPr>
          <w:b w:val="0"/>
        </w:rPr>
        <w:t xml:space="preserve"> test serialization, real migrations, account isolation and durable results across service boundaries. </w:t>
      </w:r>
      <w:r>
        <w:rPr>
          <w:b/>
        </w:rPr>
        <w:t>Frontend tests</w:t>
      </w:r>
      <w:r>
        <w:rPr>
          <w:b w:val="0"/>
        </w:rPr>
        <w:t xml:space="preserve"> exercise user workflows and malformed/missing responses; they use jsdom and do not prove real-browser GPU behaviour.</w:t>
      </w:r>
    </w:p>
    <w:p>
      <w:pPr/>
      <w:r>
        <w:rPr>
          <w:b/>
        </w:rPr>
        <w:t>Improvements after failures:</w:t>
      </w:r>
      <w:r>
        <w:rPr>
          <w:b w:val="0"/>
        </w:rPr>
        <w:t xml:space="preserve"> migration tests were updated after the collections schema was added; obsolete playback assertions were replaced with current 3D-route and three-strategy checks. A running Vite instance retained stale import resolution after reorganization; restarting it restored served modules. The incident showed why API health alone does not establish frontend readiness.</w:t>
      </w:r>
    </w:p>
    <w:p>
      <w:pPr>
        <w:pStyle w:val="Heading2"/>
      </w:pPr>
      <w:r>
        <w:rPr>
          <w:b w:val="0"/>
        </w:rPr>
        <w:t>Different-input checks against the running Python service</w:t>
      </w:r>
    </w:p>
    <w:tbl>
      <w:tblPr>
        <w:tblW w:type="auto" w:w="0"/>
        <w:jc w:val="left"/>
        <w:tblLayout w:type="fixed"/>
        <w:tblLook w:firstColumn="1" w:firstRow="1" w:lastColumn="0" w:lastRow="0" w:noHBand="0" w:noVBand="1" w:val="04A0"/>
      </w:tblPr>
      <w:tblGrid>
        <w:gridCol w:w="3400"/>
        <w:gridCol w:w="6740"/>
      </w:tblGrid>
      <w:tr>
        <w:trPr>
          <w:cantSplit/>
        </w:trPr>
        <w:tc>
          <w:tcPr>
            <w:tcW w:type="dxa" w:w="3400"/>
            <w:vAlign w:val="top"/>
            <w:shd w:fill="174B5C"/>
            <w:tcMar>
              <w:top w:w="85" w:type="dxa"/>
              <w:bottom w:w="85" w:type="dxa"/>
              <w:left w:w="110" w:type="dxa"/>
              <w:right w:w="110" w:type="dxa"/>
            </w:tcMar>
          </w:tcPr>
          <w:p>
            <w:pPr>
              <w:spacing w:after="0" w:line="208" w:lineRule="exact"/>
            </w:pPr>
            <w:r>
              <w:rPr>
                <w:rFonts w:ascii="Arial" w:hAnsi="Arial"/>
                <w:b/>
                <w:color w:val="FFFFFF"/>
                <w:sz w:val="16"/>
              </w:rPr>
              <w:t>Input</w:t>
            </w:r>
          </w:p>
        </w:tc>
        <w:tc>
          <w:tcPr>
            <w:tcW w:type="dxa" w:w="6740"/>
            <w:vAlign w:val="top"/>
            <w:shd w:fill="174B5C"/>
            <w:tcMar>
              <w:top w:w="85" w:type="dxa"/>
              <w:bottom w:w="85" w:type="dxa"/>
              <w:left w:w="110" w:type="dxa"/>
              <w:right w:w="110" w:type="dxa"/>
            </w:tcMar>
          </w:tcPr>
          <w:p>
            <w:pPr>
              <w:spacing w:after="0" w:line="208" w:lineRule="exact"/>
            </w:pPr>
            <w:r>
              <w:rPr>
                <w:rFonts w:ascii="Arial" w:hAnsi="Arial"/>
                <w:b/>
                <w:color w:val="FFFFFF"/>
                <w:sz w:val="16"/>
              </w:rPr>
              <w:t>Observed response</w:t>
            </w:r>
          </w:p>
        </w:tc>
      </w:tr>
      <w:tr>
        <w:trPr>
          <w:cantSplit/>
        </w:trPr>
        <w:tc>
          <w:tcPr>
            <w:tcW w:type="dxa" w:w="3400"/>
            <w:vAlign w:val="top"/>
            <w:shd w:fill="FFFFFF"/>
            <w:tcMar>
              <w:top w:w="85" w:type="dxa"/>
              <w:bottom w:w="85" w:type="dxa"/>
              <w:left w:w="110" w:type="dxa"/>
              <w:right w:w="110" w:type="dxa"/>
            </w:tcMar>
          </w:tcPr>
          <w:p>
            <w:pPr>
              <w:spacing w:after="0" w:line="208" w:lineRule="exact"/>
            </w:pPr>
            <w:r>
              <w:rPr>
                <w:rFonts w:ascii="Arial" w:hAnsi="Arial"/>
                <w:b w:val="0"/>
                <w:sz w:val="16"/>
              </w:rPr>
              <w:t>0000000; 1000001; 1111110</w:t>
            </w:r>
          </w:p>
        </w:tc>
        <w:tc>
          <w:tcPr>
            <w:tcW w:type="dxa" w:w="6740"/>
            <w:vAlign w:val="top"/>
            <w:shd w:fill="FFFFFF"/>
            <w:tcMar>
              <w:top w:w="85" w:type="dxa"/>
              <w:bottom w:w="85" w:type="dxa"/>
              <w:left w:w="110" w:type="dxa"/>
              <w:right w:w="110" w:type="dxa"/>
            </w:tcMar>
          </w:tcPr>
          <w:p>
            <w:pPr>
              <w:spacing w:after="0" w:line="208" w:lineRule="exact"/>
            </w:pPr>
            <w:r>
              <w:rPr>
                <w:rFonts w:ascii="Arial" w:hAnsi="Arial"/>
                <w:b w:val="0"/>
                <w:sz w:val="16"/>
              </w:rPr>
              <w:t>HTTP 200; all three strategies return an eight-action trajectory.</w:t>
            </w:r>
          </w:p>
        </w:tc>
      </w:tr>
      <w:tr>
        <w:trPr>
          <w:cantSplit/>
        </w:trPr>
        <w:tc>
          <w:tcPr>
            <w:tcW w:type="dxa" w:w="3400"/>
            <w:vAlign w:val="top"/>
            <w:shd w:fill="F1F5F7"/>
            <w:tcMar>
              <w:top w:w="85" w:type="dxa"/>
              <w:bottom w:w="85" w:type="dxa"/>
              <w:left w:w="110" w:type="dxa"/>
              <w:right w:w="110" w:type="dxa"/>
            </w:tcMar>
          </w:tcPr>
          <w:p>
            <w:pPr>
              <w:spacing w:after="0" w:line="208" w:lineRule="exact"/>
            </w:pPr>
            <w:r>
              <w:rPr>
                <w:rFonts w:ascii="Arial" w:hAnsi="Arial"/>
                <w:b w:val="0"/>
                <w:sz w:val="16"/>
              </w:rPr>
              <w:t>1111111</w:t>
            </w:r>
          </w:p>
        </w:tc>
        <w:tc>
          <w:tcPr>
            <w:tcW w:type="dxa" w:w="6740"/>
            <w:vAlign w:val="top"/>
            <w:shd w:fill="F1F5F7"/>
            <w:tcMar>
              <w:top w:w="85" w:type="dxa"/>
              <w:bottom w:w="85" w:type="dxa"/>
              <w:left w:w="110" w:type="dxa"/>
              <w:right w:w="110" w:type="dxa"/>
            </w:tcMar>
          </w:tcPr>
          <w:p>
            <w:pPr>
              <w:spacing w:after="0" w:line="208" w:lineRule="exact"/>
            </w:pPr>
            <w:r>
              <w:rPr>
                <w:rFonts w:ascii="Arial" w:hAnsi="Arial"/>
                <w:b w:val="0"/>
                <w:sz w:val="16"/>
              </w:rPr>
              <w:t>HTTP 200 terminal result; zero actions and burden 8 for each strategy.</w:t>
            </w:r>
          </w:p>
        </w:tc>
      </w:tr>
      <w:tr>
        <w:trPr>
          <w:cantSplit/>
        </w:trPr>
        <w:tc>
          <w:tcPr>
            <w:tcW w:type="dxa" w:w="3400"/>
            <w:vAlign w:val="top"/>
            <w:shd w:fill="FFFFFF"/>
            <w:tcMar>
              <w:top w:w="85" w:type="dxa"/>
              <w:bottom w:w="85" w:type="dxa"/>
              <w:left w:w="110" w:type="dxa"/>
              <w:right w:w="110" w:type="dxa"/>
            </w:tcMar>
          </w:tcPr>
          <w:p>
            <w:pPr>
              <w:spacing w:after="0" w:line="208" w:lineRule="exact"/>
            </w:pPr>
            <w:r>
              <w:rPr>
                <w:rFonts w:ascii="Arial" w:hAnsi="Arial"/>
                <w:b w:val="0"/>
                <w:sz w:val="16"/>
              </w:rPr>
              <w:t>Six values; a value of 2</w:t>
            </w:r>
          </w:p>
        </w:tc>
        <w:tc>
          <w:tcPr>
            <w:tcW w:type="dxa" w:w="6740"/>
            <w:vAlign w:val="top"/>
            <w:shd w:fill="FFFFFF"/>
            <w:tcMar>
              <w:top w:w="85" w:type="dxa"/>
              <w:bottom w:w="85" w:type="dxa"/>
              <w:left w:w="110" w:type="dxa"/>
              <w:right w:w="110" w:type="dxa"/>
            </w:tcMar>
          </w:tcPr>
          <w:p>
            <w:pPr>
              <w:spacing w:after="0" w:line="208" w:lineRule="exact"/>
            </w:pPr>
            <w:r>
              <w:rPr>
                <w:rFonts w:ascii="Arial" w:hAnsi="Arial"/>
                <w:b w:val="0"/>
                <w:sz w:val="16"/>
              </w:rPr>
              <w:t>HTTP 422: request_validation_error; invalid_context respectively.</w:t>
            </w:r>
          </w:p>
        </w:tc>
      </w:tr>
    </w:tbl>
    <w:p>
      <w:pPr>
        <w:spacing w:after="0" w:line="60" w:lineRule="exact"/>
      </w:pPr>
      <w:r>
        <w:rPr>
          <w:sz w:val="6"/>
        </w:rPr>
      </w:r>
    </w:p>
    <w:p>
      <w:pPr>
        <w:pStyle w:val="Heading2"/>
      </w:pPr>
      <w:r>
        <w:rPr>
          <w:b w:val="0"/>
        </w:rPr>
        <w:t>Measured performance and compatibility limits</w:t>
      </w:r>
    </w:p>
    <w:p>
      <w:pPr/>
      <w:r>
        <w:rPr>
          <w:b w:val="0"/>
        </w:rPr>
        <w:t>On Windows 11 Enterprise (10.0.26200), AMD Ryzen 5 PRO 8540U and approximately 32 GB RAM, three warm requests per profile gave median internal-comparison times of 30.18 ms (0000000), 28.10 ms (1000001), 29.64 ms (1111110) and 15.85 ms (terminal). These non-persisting requests exclude browser rendering, public-API persistence, cold starts and concurrent load.</w:t>
      </w:r>
    </w:p>
    <w:p>
      <w:pPr/>
      <w:r>
        <w:rPr>
          <w:b w:val="0"/>
        </w:rPr>
        <w:t>Local Windows execution is verified. CI defines Windows Python tests and Ubuntu .NET/live jobs; current remote results were not verified in this review. Responsive layouts, lazy scene loading, instanced particles, bounded pixel ratio and WebGL fallbacks are implemented. Cross-browser/version testing, low/high-end device comparison, 3D FPS, browser memory and public deployment performance remain unmeasured.</w:t>
      </w:r>
    </w:p>
    <w:p>
      <w:r>
        <w:br w:type="page"/>
      </w:r>
    </w:p>
    <w:p>
      <w:pPr>
        <w:pStyle w:val="Heading1"/>
      </w:pPr>
      <w:r>
        <w:t>5. Limitations, reproducibility and delivery</w:t>
      </w:r>
    </w:p>
    <w:p>
      <w:pPr>
        <w:pStyle w:val="Heading2"/>
      </w:pPr>
      <w:r>
        <w:rPr>
          <w:b w:val="0"/>
        </w:rPr>
        <w:t>Interpretation and outstanding validation</w:t>
      </w:r>
    </w:p>
    <w:p>
      <w:pPr/>
      <w:r>
        <w:rPr>
          <w:b w:val="0"/>
        </w:rPr>
        <w:t>This prototype demonstrates an integrated computational research workflow. Clinical effectiveness, patient-specific treatment advice and real bacterial-population evolution are outside the implemented model. The urinary-tract 3D animation is aesthetic; measured model outputs are the resistance trajectories and recorded action traces.</w:t>
      </w:r>
    </w:p>
    <w:tbl>
      <w:tblPr>
        <w:tblW w:type="auto" w:w="0"/>
        <w:jc w:val="left"/>
        <w:tblLayout w:type="fixed"/>
        <w:tblLook w:firstColumn="1" w:firstRow="1" w:lastColumn="0" w:lastRow="0" w:noHBand="0" w:noVBand="1" w:val="04A0"/>
      </w:tblPr>
      <w:tblGrid>
        <w:gridCol w:w="2860"/>
        <w:gridCol w:w="7280"/>
      </w:tblGrid>
      <w:tr>
        <w:trPr>
          <w:cantSplit/>
        </w:trPr>
        <w:tc>
          <w:tcPr>
            <w:tcW w:type="dxa" w:w="2860"/>
            <w:vAlign w:val="top"/>
            <w:shd w:fill="174B5C"/>
            <w:tcMar>
              <w:top w:w="85" w:type="dxa"/>
              <w:bottom w:w="85" w:type="dxa"/>
              <w:left w:w="110" w:type="dxa"/>
              <w:right w:w="110" w:type="dxa"/>
            </w:tcMar>
          </w:tcPr>
          <w:p>
            <w:pPr>
              <w:spacing w:after="0" w:line="208" w:lineRule="exact"/>
            </w:pPr>
            <w:r>
              <w:rPr>
                <w:rFonts w:ascii="Arial" w:hAnsi="Arial"/>
                <w:b/>
                <w:color w:val="FFFFFF"/>
                <w:sz w:val="16"/>
              </w:rPr>
              <w:t>Limitation</w:t>
            </w:r>
          </w:p>
        </w:tc>
        <w:tc>
          <w:tcPr>
            <w:tcW w:type="dxa" w:w="7280"/>
            <w:vAlign w:val="top"/>
            <w:shd w:fill="174B5C"/>
            <w:tcMar>
              <w:top w:w="85" w:type="dxa"/>
              <w:bottom w:w="85" w:type="dxa"/>
              <w:left w:w="110" w:type="dxa"/>
              <w:right w:w="110" w:type="dxa"/>
            </w:tcMar>
          </w:tcPr>
          <w:p>
            <w:pPr>
              <w:spacing w:after="0" w:line="208" w:lineRule="exact"/>
            </w:pPr>
            <w:r>
              <w:rPr>
                <w:rFonts w:ascii="Arial" w:hAnsi="Arial"/>
                <w:b/>
                <w:color w:val="FFFFFF"/>
                <w:sz w:val="16"/>
              </w:rPr>
              <w:t>Consequence and next step</w:t>
            </w:r>
          </w:p>
        </w:tc>
      </w:tr>
      <w:tr>
        <w:trPr>
          <w:cantSplit/>
        </w:trPr>
        <w:tc>
          <w:tcPr>
            <w:tcW w:type="dxa" w:w="2860"/>
            <w:vAlign w:val="top"/>
            <w:shd w:fill="FFFFFF"/>
            <w:tcMar>
              <w:top w:w="85" w:type="dxa"/>
              <w:bottom w:w="85" w:type="dxa"/>
              <w:left w:w="110" w:type="dxa"/>
              <w:right w:w="110" w:type="dxa"/>
            </w:tcMar>
          </w:tcPr>
          <w:p>
            <w:pPr>
              <w:spacing w:after="0" w:line="208" w:lineRule="exact"/>
            </w:pPr>
            <w:r>
              <w:rPr>
                <w:rFonts w:ascii="Arial" w:hAnsi="Arial"/>
                <w:b w:val="0"/>
                <w:sz w:val="16"/>
              </w:rPr>
              <w:t>Incomplete transition coverage</w:t>
            </w:r>
          </w:p>
        </w:tc>
        <w:tc>
          <w:tcPr>
            <w:tcW w:type="dxa" w:w="7280"/>
            <w:vAlign w:val="top"/>
            <w:shd w:fill="FFFFFF"/>
            <w:tcMar>
              <w:top w:w="85" w:type="dxa"/>
              <w:bottom w:w="85" w:type="dxa"/>
              <w:left w:w="110" w:type="dxa"/>
              <w:right w:w="110" w:type="dxa"/>
            </w:tcMar>
          </w:tcPr>
          <w:p>
            <w:pPr>
              <w:spacing w:after="0" w:line="208" w:lineRule="exact"/>
            </w:pPr>
            <w:r>
              <w:rPr>
                <w:rFonts w:ascii="Arial" w:hAnsi="Arial"/>
                <w:b w:val="0"/>
                <w:sz w:val="16"/>
              </w:rPr>
              <w:t>64 of 448 feasible state/action pairs lack applicable transitions; 114 force an unchanged state including neutral outcomes. Make gaps visible; expand evidence before adding biological claims.</w:t>
            </w:r>
          </w:p>
        </w:tc>
      </w:tr>
      <w:tr>
        <w:trPr>
          <w:cantSplit/>
        </w:trPr>
        <w:tc>
          <w:tcPr>
            <w:tcW w:type="dxa" w:w="2860"/>
            <w:vAlign w:val="top"/>
            <w:shd w:fill="F1F5F7"/>
            <w:tcMar>
              <w:top w:w="85" w:type="dxa"/>
              <w:bottom w:w="85" w:type="dxa"/>
              <w:left w:w="110" w:type="dxa"/>
              <w:right w:w="110" w:type="dxa"/>
            </w:tcMar>
          </w:tcPr>
          <w:p>
            <w:pPr>
              <w:spacing w:after="0" w:line="208" w:lineRule="exact"/>
            </w:pPr>
            <w:r>
              <w:rPr>
                <w:rFonts w:ascii="Arial" w:hAnsi="Arial"/>
                <w:b w:val="0"/>
                <w:sz w:val="16"/>
              </w:rPr>
              <w:t>Restricted evolutionary dynamics</w:t>
            </w:r>
          </w:p>
        </w:tc>
        <w:tc>
          <w:tcPr>
            <w:tcW w:type="dxa" w:w="7280"/>
            <w:vAlign w:val="top"/>
            <w:shd w:fill="F1F5F7"/>
            <w:tcMar>
              <w:top w:w="85" w:type="dxa"/>
              <w:bottom w:w="85" w:type="dxa"/>
              <w:left w:w="110" w:type="dxa"/>
              <w:right w:w="110" w:type="dxa"/>
            </w:tcMar>
          </w:tcPr>
          <w:p>
            <w:pPr>
              <w:spacing w:after="0" w:line="208" w:lineRule="exact"/>
            </w:pPr>
            <w:r>
              <w:rPr>
                <w:rFonts w:ascii="Arial" w:hAnsi="Arial"/>
                <w:b w:val="0"/>
                <w:sz w:val="16"/>
              </w:rPr>
              <w:t>There is no selected-drug self-resistance, population size, dose, recovery or stopping model. Repeated selections and zero burden can reflect these assumptions.</w:t>
            </w:r>
          </w:p>
        </w:tc>
      </w:tr>
      <w:tr>
        <w:trPr>
          <w:cantSplit/>
        </w:trPr>
        <w:tc>
          <w:tcPr>
            <w:tcW w:type="dxa" w:w="2860"/>
            <w:vAlign w:val="top"/>
            <w:shd w:fill="FFFFFF"/>
            <w:tcMar>
              <w:top w:w="85" w:type="dxa"/>
              <w:bottom w:w="85" w:type="dxa"/>
              <w:left w:w="110" w:type="dxa"/>
              <w:right w:w="110" w:type="dxa"/>
            </w:tcMar>
          </w:tcPr>
          <w:p>
            <w:pPr>
              <w:spacing w:after="0" w:line="208" w:lineRule="exact"/>
            </w:pPr>
            <w:r>
              <w:rPr>
                <w:rFonts w:ascii="Arial" w:hAnsi="Arial"/>
                <w:b w:val="0"/>
                <w:sz w:val="16"/>
              </w:rPr>
              <w:t>Limited generalization claim</w:t>
            </w:r>
          </w:p>
        </w:tc>
        <w:tc>
          <w:tcPr>
            <w:tcW w:type="dxa" w:w="7280"/>
            <w:vAlign w:val="top"/>
            <w:shd w:fill="FFFFFF"/>
            <w:tcMar>
              <w:top w:w="85" w:type="dxa"/>
              <w:bottom w:w="85" w:type="dxa"/>
              <w:left w:w="110" w:type="dxa"/>
              <w:right w:w="110" w:type="dxa"/>
            </w:tcMar>
          </w:tcPr>
          <w:p>
            <w:pPr>
              <w:spacing w:after="0" w:line="208" w:lineRule="exact"/>
            </w:pPr>
            <w:r>
              <w:rPr>
                <w:rFonts w:ascii="Arial" w:hAnsi="Arial"/>
                <w:b w:val="0"/>
                <w:sz w:val="16"/>
              </w:rPr>
              <w:t>Profiles are known during training. Occurrence sensitivity varies assumptions; it does not establish unseen-profile, regional or clinical generalization.</w:t>
            </w:r>
          </w:p>
        </w:tc>
      </w:tr>
      <w:tr>
        <w:trPr>
          <w:cantSplit/>
        </w:trPr>
        <w:tc>
          <w:tcPr>
            <w:tcW w:type="dxa" w:w="2860"/>
            <w:vAlign w:val="top"/>
            <w:shd w:fill="F1F5F7"/>
            <w:tcMar>
              <w:top w:w="85" w:type="dxa"/>
              <w:bottom w:w="85" w:type="dxa"/>
              <w:left w:w="110" w:type="dxa"/>
              <w:right w:w="110" w:type="dxa"/>
            </w:tcMar>
          </w:tcPr>
          <w:p>
            <w:pPr>
              <w:spacing w:after="0" w:line="208" w:lineRule="exact"/>
            </w:pPr>
            <w:r>
              <w:rPr>
                <w:rFonts w:ascii="Arial" w:hAnsi="Arial"/>
                <w:b w:val="0"/>
                <w:sz w:val="16"/>
              </w:rPr>
              <w:t>Incomplete original scope</w:t>
            </w:r>
          </w:p>
        </w:tc>
        <w:tc>
          <w:tcPr>
            <w:tcW w:type="dxa" w:w="7280"/>
            <w:vAlign w:val="top"/>
            <w:shd w:fill="F1F5F7"/>
            <w:tcMar>
              <w:top w:w="85" w:type="dxa"/>
              <w:bottom w:w="85" w:type="dxa"/>
              <w:left w:w="110" w:type="dxa"/>
              <w:right w:w="110" w:type="dxa"/>
            </w:tcMar>
          </w:tcPr>
          <w:p>
            <w:pPr>
              <w:spacing w:after="0" w:line="208" w:lineRule="exact"/>
            </w:pPr>
            <w:r>
              <w:rPr>
                <w:rFonts w:ascii="Arial" w:hAnsi="Arial"/>
                <w:b w:val="0"/>
                <w:sz w:val="16"/>
              </w:rPr>
              <w:t>Prior treatment-history input and regional starting-distribution calibration are absent. Practitioner usability testing has not yet occurred.</w:t>
            </w:r>
          </w:p>
        </w:tc>
      </w:tr>
      <w:tr>
        <w:trPr>
          <w:cantSplit/>
        </w:trPr>
        <w:tc>
          <w:tcPr>
            <w:tcW w:type="dxa" w:w="2860"/>
            <w:vAlign w:val="top"/>
            <w:shd w:fill="FFFFFF"/>
            <w:tcMar>
              <w:top w:w="85" w:type="dxa"/>
              <w:bottom w:w="85" w:type="dxa"/>
              <w:left w:w="110" w:type="dxa"/>
              <w:right w:w="110" w:type="dxa"/>
            </w:tcMar>
          </w:tcPr>
          <w:p>
            <w:pPr>
              <w:spacing w:after="0" w:line="208" w:lineRule="exact"/>
            </w:pPr>
            <w:r>
              <w:rPr>
                <w:rFonts w:ascii="Arial" w:hAnsi="Arial"/>
                <w:b w:val="0"/>
                <w:sz w:val="16"/>
              </w:rPr>
              <w:t>Unfinished acceptance evidence</w:t>
            </w:r>
          </w:p>
        </w:tc>
        <w:tc>
          <w:tcPr>
            <w:tcW w:type="dxa" w:w="7280"/>
            <w:vAlign w:val="top"/>
            <w:shd w:fill="FFFFFF"/>
            <w:tcMar>
              <w:top w:w="85" w:type="dxa"/>
              <w:bottom w:w="85" w:type="dxa"/>
              <w:left w:w="110" w:type="dxa"/>
              <w:right w:w="110" w:type="dxa"/>
            </w:tcMar>
          </w:tcPr>
          <w:p>
            <w:pPr>
              <w:spacing w:after="0" w:line="208" w:lineRule="exact"/>
            </w:pPr>
            <w:r>
              <w:rPr>
                <w:rFonts w:ascii="Arial" w:hAnsi="Arial"/>
                <w:b w:val="0"/>
                <w:sz w:val="16"/>
              </w:rPr>
              <w:t>A browser/device performance matrix and public-hosting evidence remain outstanding. The Privacy page has a stale Google-account description requiring correction.</w:t>
            </w:r>
          </w:p>
        </w:tc>
      </w:tr>
    </w:tbl>
    <w:p>
      <w:pPr>
        <w:spacing w:after="0" w:line="60" w:lineRule="exact"/>
      </w:pPr>
      <w:r>
        <w:rPr>
          <w:sz w:val="6"/>
        </w:rPr>
      </w:r>
    </w:p>
    <w:p>
      <w:pPr/>
      <w:r>
        <w:rPr>
          <w:b w:val="0"/>
        </w:rPr>
        <w:t>The planned usability exercise should recruit 3-5 relevant practitioners with consent, use common input/interpretation tasks, and record task completion, misunderstandings and structured feedback. No usability scores or participant outcomes are reported because that study has not been conducted.</w:t>
      </w:r>
    </w:p>
    <w:p>
      <w:pPr>
        <w:pStyle w:val="Heading2"/>
      </w:pPr>
      <w:r>
        <w:rPr>
          <w:b w:val="0"/>
        </w:rPr>
        <w:t>Reproduce and hand over the implementation</w:t>
      </w:r>
    </w:p>
    <w:p>
      <w:pPr/>
      <w:r>
        <w:rPr>
          <w:b w:val="0"/>
        </w:rPr>
        <w:t>README.md documents Python 3.11, Node &gt;=22.12, the pinned .NET 10 SDK, Docker/PostgreSQL, dependency installation and explicit EF migrations. Start PostgreSQL, Python (8000), API (5080) and Vite (5173). Models load from local files. docs/api.md covers tests; docs/scientific-model.md defines semantics; docs/research.md documents data integration, benchmarking, selection and exact review.</w:t>
      </w:r>
    </w:p>
    <w:p>
      <w:pPr/>
      <w:r>
        <w:rPr>
          <w:b w:val="0"/>
        </w:rPr>
        <w:t>The frozen release retains checkpoints, configurations, shared data, selection records and SHA256SUMS.txt; ml/third-party-notices.txt retains DQN attribution. submission/verification-evidence.json preserves study summaries, paired per-seed differences, source hashes and the local verification record. Full generated study artifacts remain excluded from Git and can be reproduced with the documented module commands.</w:t>
      </w:r>
    </w:p>
    <w:p>
      <w:pPr/>
      <w:r>
        <w:rPr>
          <w:b/>
        </w:rPr>
        <w:t>Submission packaging:</w:t>
      </w:r>
      <w:r>
        <w:rPr>
          <w:b w:val="0"/>
        </w:rPr>
        <w:t xml:space="preserve"> link this PDF and the uploaded walkthrough from README.md. The second-attempt ZIP must match the submitted repository and include the actual report and recorded video. This report and the accompanying script do not constitute the recorded video. No public deployment or completed practitioner study is claimed.</w:t>
      </w:r>
    </w:p>
    <w:p>
      <w:pPr>
        <w:pStyle w:val="Heading2"/>
      </w:pPr>
      <w:r>
        <w:rPr>
          <w:b w:val="0"/>
        </w:rPr>
        <w:t>References and evidence</w:t>
      </w:r>
    </w:p>
    <w:p>
      <w:pPr/>
      <w:r>
        <w:rPr>
          <w:b w:val="0"/>
        </w:rPr>
        <w:t>[1] Odero, A. N. (2026). An AI-Based Decision Support System for Antibiotic Stewardship in Multidrug-Resistant Escherichia coli Urinary Tract Infections. Approved proposal supplied for scope comparison; especially sections 1.5 and 3.4-3.14.</w:t>
      </w:r>
      <w:r>
        <w:br/>
      </w:r>
      <w:r>
        <w:rPr>
          <w:b w:val="0"/>
        </w:rPr>
        <w:t>[2] StewardLab source repository, baseline 42fdd0e: https://github.com/noel-odero/Capstone-101/tree/42fdd0ec968c5600abb71140e22c839a8101331a.</w:t>
      </w:r>
      <w:r>
        <w:br/>
      </w:r>
      <w:r>
        <w:rPr>
          <w:b w:val="0"/>
        </w:rPr>
        <w:t>[3] submission/verification-evidence.json; experiments/runs/public-data-v2/report.json; experiments/results/public-data-v2-review-rerun/analysis.json; artifacts/frozen/public-data-v2/selection.json.</w:t>
      </w:r>
      <w:r>
        <w:br/>
      </w:r>
      <w:r>
        <w:rPr>
          <w:b w:val="0"/>
        </w:rPr>
        <w:t>[4] data/research/transition-data-2026-10-23/sources.json and data/processed/evidence_registry.csv: public experimental extracts, source URLs and hashes. See docs/research.md for derivation and limitations.</w:t>
      </w:r>
    </w:p>
    <w:sectPr w:rsidR="00FC693F" w:rsidRPr="0006063C" w:rsidSect="00034616">
      <w:headerReference w:type="default" r:id="rId9"/>
      <w:footerReference w:type="default" r:id="rId10"/>
      <w:pgSz w:w="11906" w:h="16838"/>
      <w:pgMar w:top="860" w:right="880" w:bottom="860" w:left="880" w:header="280" w:footer="2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 xml:space="preserve">Anjeline Noel Odero | 24 October 2026 | 42fdd0e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4"/>
      </w:rPr>
      <w:t>STEWARDLAB  /  FINAL TECHNICAL PRODUCT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exact" w:after="12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Arial" w:hAnsi="Arial"/>
      <w:b/>
      <w:bCs/>
      <w:color w:val="143B51"/>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143B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color w:val="143B5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StewardLab - Final Technical Product Report</dc:title>
  <dc:subject/>
  <dc:creator>Anjeline Noel Odero</dc:creator>
  <cp:keywords/>
  <dc:description>generated by python-docx</dc:description>
  <cp:lastModifiedBy/>
  <cp:revision>1</cp:revision>
  <dcterms:created xsi:type="dcterms:W3CDTF">2013-12-23T23:15:00Z</dcterms:created>
  <dcterms:modified xsi:type="dcterms:W3CDTF">2013-12-23T23:15:00Z</dcterms:modified>
  <cp:category/>
</cp:coreProperties>
</file>