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Robin Technical Requirements</w:t>
      </w:r>
    </w:p>
    <w:p>
      <w:pPr>
        <w:pStyle w:val="Subtitle"/>
        <w:widowControl/>
      </w:pPr>
      <w:r>
        <w:t>Implementation specification</w:t>
      </w:r>
    </w:p>
    <w:p>
      <w:pPr>
        <w:widowControl/>
      </w:pPr>
      <w:r>
        <w:t xml:space="preserve">Version 0.4  |  October 15, 2026  |  Owner Noela Jean Bunag</w:t>
      </w:r>
    </w:p>
    <w:p>
      <w:pPr>
        <w:widowControl/>
      </w:pPr>
      <w:r>
        <w:t xml:space="preserve">Product baseline Robin PRD v0.5  |  Audience engineering, product, and design</w:t>
      </w:r>
    </w:p>
    <w:p>
      <w:pPr>
        <w:widowControl/>
      </w:pPr>
      <w:r>
        <w:t>Build Robin as a local service and browser workspace that coordinates existing coding runtimes. The service owns projects, tasks, session associations, durable activity, user actions, search, and approved context exchange. Claude Code, Codex, and Pi own model execution, tools, native session history, and permission enforcement.</w:t>
      </w:r>
    </w:p>
    <w:p>
      <w:pPr>
        <w:widowControl/>
      </w:pPr>
      <w:r>
        <w:t>This document defines the proposed engineering contracts and release evidence for PRD v0.5. Requirements using must are release obligations. Stack choices, numeric guardrails, API shapes, and storage defaults introduced here are proposed design decisions for implementation review; integration support must be proved against installed runtime versions.</w:t>
      </w:r>
    </w:p>
    <w:p>
      <w:pPr>
        <w:widowControl/>
      </w:pPr>
      <w:r>
        <w:t>Version 0.2 applies the consolidated review (docs/review-consolidated.md): review independence, session reuse across tasks, control ownership, a required finding publication path, retrieval grants, launch permission settings, and prompt-injection framing. This document owns the storage layout and finding schema.</w:t>
      </w:r>
    </w:p>
    <w:p>
      <w:pPr>
        <w:widowControl/>
      </w:pPr>
      <w:r>
        <w:t>Version 0.3 follows the PRD v0.4 owner decisions: a detached session supervisor keeps managed sessions alive across service restarts (TR-006), a runtime below the capability floor ships observed-only (TR-091), lineage-based loop exclusion is P1 (TR-065), and backup and export trace to FR-043 (TR-073–074).</w:t>
      </w:r>
    </w:p>
    <w:p>
      <w:pPr>
        <w:widowControl/>
      </w:pPr>
      <w:r>
        <w:t xml:space="preserve">Version 0.4 follows the PRD v0.5 owner decisions: macOS only for the first release with a Mac mini M4 reference machine (TR-080), the Claude Agent SDK as the first adapter with Codex app-server as fallback and in-process SDKs hosted in per-session runtime hosts (TR-006), loopback only with SSH port forwarding for remote use (TR-051–052), opt-in observe-only hook installers (TR-076), a 20 GB default cap on copied activity (TR-081), and a secret scanner based on the gitleaks rule set (TR-070).</w:t>
      </w:r>
    </w:p>
    <w:p>
      <w:pPr>
        <w:pStyle w:val="Heading2"/>
        <w:widowControl/>
      </w:pPr>
      <w:r>
        <w:t>Release boundary</w:t>
      </w:r>
    </w:p>
    <w:p>
      <w:pPr>
        <w:pStyle w:val="ListBullet"/>
        <w:widowControl/>
      </w:pPr>
      <w:r>
        <w:t>MVP supports one developer and one execution host on macOS (Linux after the first release), with a local web dashboard, CLI, native terminal access, a session supervisor, and adapters for all three runtimes. A runtime below the PRD capability floor ships observed-only.</w:t>
      </w:r>
    </w:p>
    <w:p>
      <w:pPr>
        <w:pStyle w:val="ListBullet"/>
        <w:widowControl/>
      </w:pPr>
      <w:r>
        <w:t>P0 covers managed execution, restart continuity, historical discovery, live activity, attention requests, selected findings exchange, comparison, synthesis, search, recovery, and backup and export. P1 covers lineage-based loop exclusion, optional worktrees, richer Git context, and notifications.</w:t>
      </w:r>
    </w:p>
    <w:p>
      <w:pPr>
        <w:pStyle w:val="ListBullet"/>
        <w:widowControl/>
      </w:pPr>
      <w:r>
        <w:t>Automatic orchestration, multi-host aggregation, cross-harness session conversion, 3D visualization, and a Robin-native model loop require separate scope.</w:t>
      </w:r>
    </w:p>
    <w:p>
      <w:pPr>
        <w:pStyle w:val="Heading2"/>
        <w:widowControl/>
      </w:pPr>
      <w:r>
        <w:t>Document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864"/>
        <w:gridCol w:w="9072"/>
      </w:tblGrid>
      <w:tr>
        <w:trPr>
          <w:cantSplit/>
          <w:tblHeader/>
        </w:trPr>
        <w:tc>
          <w:tcPr>
            <w:tcW w:type="dxa" w:w="864"/>
            <w:vAlign w:val="center"/>
            <w:shd w:fill="E8EDF2"/>
          </w:tcPr>
          <w:p>
            <w:pPr>
              <w:keepNext/>
              <w:spacing w:after="40" w:line="252" w:lineRule="auto"/>
            </w:pPr>
            <w:r>
              <w:rPr>
                <w:b/>
                <w:sz w:val="18"/>
              </w:rPr>
              <w:t>Requirements</w:t>
            </w:r>
          </w:p>
        </w:tc>
        <w:tc>
          <w:tcPr>
            <w:tcW w:type="dxa" w:w="9072"/>
            <w:vAlign w:val="center"/>
            <w:shd w:fill="E8EDF2"/>
          </w:tcPr>
          <w:p>
            <w:pPr>
              <w:keepNext/>
              <w:spacing w:after="40" w:line="252" w:lineRule="auto"/>
            </w:pPr>
            <w:r>
              <w:rPr>
                <w:b/>
                <w:sz w:val="18"/>
              </w:rPr>
              <w:t>Engineering topic</w:t>
            </w:r>
          </w:p>
        </w:tc>
      </w:tr>
      <w:tr>
        <w:trPr>
          <w:cantSplit/>
        </w:trPr>
        <w:tc>
          <w:tcPr>
            <w:tcW w:type="dxa" w:w="864"/>
            <w:vAlign w:val="center"/>
          </w:tcPr>
          <w:p>
            <w:pPr>
              <w:spacing w:after="40" w:line="252" w:lineRule="auto"/>
            </w:pPr>
            <w:r>
              <w:rPr>
                <w:b w:val="0"/>
                <w:sz w:val="18"/>
              </w:rPr>
              <w:t>TR-001–006</w:t>
            </w:r>
          </w:p>
        </w:tc>
        <w:tc>
          <w:tcPr>
            <w:tcW w:type="dxa" w:w="9072"/>
            <w:vAlign w:val="center"/>
          </w:tcPr>
          <w:p>
            <w:pPr>
              <w:spacing w:after="40" w:line="252" w:lineRule="auto"/>
            </w:pPr>
            <w:r>
              <w:rPr>
                <w:b w:val="0"/>
                <w:sz w:val="18"/>
              </w:rPr>
              <w:t>Architecture and component boundaries</w:t>
            </w:r>
          </w:p>
        </w:tc>
      </w:tr>
      <w:tr>
        <w:trPr>
          <w:cantSplit/>
        </w:trPr>
        <w:tc>
          <w:tcPr>
            <w:tcW w:type="dxa" w:w="864"/>
            <w:vAlign w:val="center"/>
          </w:tcPr>
          <w:p>
            <w:pPr>
              <w:spacing w:after="40" w:line="252" w:lineRule="auto"/>
            </w:pPr>
            <w:r>
              <w:rPr>
                <w:b w:val="0"/>
                <w:sz w:val="18"/>
              </w:rPr>
              <w:t>TR-010–012</w:t>
            </w:r>
          </w:p>
        </w:tc>
        <w:tc>
          <w:tcPr>
            <w:tcW w:type="dxa" w:w="9072"/>
            <w:vAlign w:val="center"/>
          </w:tcPr>
          <w:p>
            <w:pPr>
              <w:spacing w:after="40" w:line="252" w:lineRule="auto"/>
            </w:pPr>
            <w:r>
              <w:rPr>
                <w:b w:val="0"/>
                <w:sz w:val="18"/>
              </w:rPr>
              <w:t>Adapter contracts and integration validation</w:t>
            </w:r>
          </w:p>
        </w:tc>
      </w:tr>
      <w:tr>
        <w:trPr>
          <w:cantSplit/>
        </w:trPr>
        <w:tc>
          <w:tcPr>
            <w:tcW w:type="dxa" w:w="864"/>
            <w:vAlign w:val="center"/>
          </w:tcPr>
          <w:p>
            <w:pPr>
              <w:spacing w:after="40" w:line="252" w:lineRule="auto"/>
            </w:pPr>
            <w:r>
              <w:rPr>
                <w:b w:val="0"/>
                <w:sz w:val="18"/>
              </w:rPr>
              <w:t>TR-020–023</w:t>
            </w:r>
          </w:p>
        </w:tc>
        <w:tc>
          <w:tcPr>
            <w:tcW w:type="dxa" w:w="9072"/>
            <w:vAlign w:val="center"/>
          </w:tcPr>
          <w:p>
            <w:pPr>
              <w:spacing w:after="40" w:line="252" w:lineRule="auto"/>
            </w:pPr>
            <w:r>
              <w:rPr>
                <w:b w:val="0"/>
                <w:sz w:val="18"/>
              </w:rPr>
              <w:t>Persistent entities and artifact ownership</w:t>
            </w:r>
          </w:p>
        </w:tc>
      </w:tr>
      <w:tr>
        <w:trPr>
          <w:cantSplit/>
        </w:trPr>
        <w:tc>
          <w:tcPr>
            <w:tcW w:type="dxa" w:w="864"/>
            <w:vAlign w:val="center"/>
          </w:tcPr>
          <w:p>
            <w:pPr>
              <w:spacing w:after="40" w:line="252" w:lineRule="auto"/>
            </w:pPr>
            <w:r>
              <w:rPr>
                <w:b w:val="0"/>
                <w:sz w:val="18"/>
              </w:rPr>
              <w:t>TR-030–035</w:t>
            </w:r>
          </w:p>
        </w:tc>
        <w:tc>
          <w:tcPr>
            <w:tcW w:type="dxa" w:w="9072"/>
            <w:vAlign w:val="center"/>
          </w:tcPr>
          <w:p>
            <w:pPr>
              <w:spacing w:after="40" w:line="252" w:lineRule="auto"/>
            </w:pPr>
            <w:r>
              <w:rPr>
                <w:b w:val="0"/>
                <w:sz w:val="18"/>
              </w:rPr>
              <w:t>Event ingestion and dashboard synchronization</w:t>
            </w:r>
          </w:p>
        </w:tc>
      </w:tr>
      <w:tr>
        <w:trPr>
          <w:cantSplit/>
        </w:trPr>
        <w:tc>
          <w:tcPr>
            <w:tcW w:type="dxa" w:w="864"/>
            <w:vAlign w:val="center"/>
          </w:tcPr>
          <w:p>
            <w:pPr>
              <w:spacing w:after="40" w:line="252" w:lineRule="auto"/>
            </w:pPr>
            <w:r>
              <w:rPr>
                <w:b w:val="0"/>
                <w:sz w:val="18"/>
              </w:rPr>
              <w:t>TR-040–046</w:t>
            </w:r>
          </w:p>
        </w:tc>
        <w:tc>
          <w:tcPr>
            <w:tcW w:type="dxa" w:w="9072"/>
            <w:vAlign w:val="center"/>
          </w:tcPr>
          <w:p>
            <w:pPr>
              <w:spacing w:after="40" w:line="252" w:lineRule="auto"/>
            </w:pPr>
            <w:r>
              <w:rPr>
                <w:b w:val="0"/>
                <w:sz w:val="18"/>
              </w:rPr>
              <w:t>Session state and control semantics</w:t>
            </w:r>
          </w:p>
        </w:tc>
      </w:tr>
      <w:tr>
        <w:trPr>
          <w:cantSplit/>
        </w:trPr>
        <w:tc>
          <w:tcPr>
            <w:tcW w:type="dxa" w:w="864"/>
            <w:vAlign w:val="center"/>
          </w:tcPr>
          <w:p>
            <w:pPr>
              <w:spacing w:after="40" w:line="252" w:lineRule="auto"/>
            </w:pPr>
            <w:r>
              <w:rPr>
                <w:b w:val="0"/>
                <w:sz w:val="18"/>
              </w:rPr>
              <w:t>TR-050–053</w:t>
            </w:r>
          </w:p>
        </w:tc>
        <w:tc>
          <w:tcPr>
            <w:tcW w:type="dxa" w:w="9072"/>
            <w:vAlign w:val="center"/>
          </w:tcPr>
          <w:p>
            <w:pPr>
              <w:spacing w:after="40" w:line="252" w:lineRule="auto"/>
            </w:pPr>
            <w:r>
              <w:rPr>
                <w:b w:val="0"/>
                <w:sz w:val="18"/>
              </w:rPr>
              <w:t>HTTP API and browser authentication</w:t>
            </w:r>
          </w:p>
        </w:tc>
      </w:tr>
      <w:tr>
        <w:trPr>
          <w:cantSplit/>
        </w:trPr>
        <w:tc>
          <w:tcPr>
            <w:tcW w:type="dxa" w:w="864"/>
            <w:vAlign w:val="center"/>
          </w:tcPr>
          <w:p>
            <w:pPr>
              <w:spacing w:after="40" w:line="252" w:lineRule="auto"/>
            </w:pPr>
            <w:r>
              <w:rPr>
                <w:b w:val="0"/>
                <w:sz w:val="18"/>
              </w:rPr>
              <w:t>TR-060–069</w:t>
            </w:r>
          </w:p>
        </w:tc>
        <w:tc>
          <w:tcPr>
            <w:tcW w:type="dxa" w:w="9072"/>
            <w:vAlign w:val="center"/>
          </w:tcPr>
          <w:p>
            <w:pPr>
              <w:spacing w:after="40" w:line="252" w:lineRule="auto"/>
            </w:pPr>
            <w:r>
              <w:rPr>
                <w:b w:val="0"/>
                <w:sz w:val="18"/>
              </w:rPr>
              <w:t>Findings and context transfer</w:t>
            </w:r>
          </w:p>
        </w:tc>
      </w:tr>
      <w:tr>
        <w:trPr>
          <w:cantSplit/>
        </w:trPr>
        <w:tc>
          <w:tcPr>
            <w:tcW w:type="dxa" w:w="864"/>
            <w:vAlign w:val="center"/>
          </w:tcPr>
          <w:p>
            <w:pPr>
              <w:spacing w:after="40" w:line="252" w:lineRule="auto"/>
            </w:pPr>
            <w:r>
              <w:rPr>
                <w:b w:val="0"/>
                <w:sz w:val="18"/>
              </w:rPr>
              <w:t>TR-070–076</w:t>
            </w:r>
          </w:p>
        </w:tc>
        <w:tc>
          <w:tcPr>
            <w:tcW w:type="dxa" w:w="9072"/>
            <w:vAlign w:val="center"/>
          </w:tcPr>
          <w:p>
            <w:pPr>
              <w:spacing w:after="40" w:line="252" w:lineRule="auto"/>
            </w:pPr>
            <w:r>
              <w:rPr>
                <w:b w:val="0"/>
                <w:sz w:val="18"/>
              </w:rPr>
              <w:t>Security and local operations</w:t>
            </w:r>
          </w:p>
        </w:tc>
      </w:tr>
      <w:tr>
        <w:trPr>
          <w:cantSplit/>
        </w:trPr>
        <w:tc>
          <w:tcPr>
            <w:tcW w:type="dxa" w:w="864"/>
            <w:vAlign w:val="center"/>
          </w:tcPr>
          <w:p>
            <w:pPr>
              <w:spacing w:after="40" w:line="252" w:lineRule="auto"/>
            </w:pPr>
            <w:r>
              <w:rPr>
                <w:b w:val="0"/>
                <w:sz w:val="18"/>
              </w:rPr>
              <w:t>TR-080–084</w:t>
            </w:r>
          </w:p>
        </w:tc>
        <w:tc>
          <w:tcPr>
            <w:tcW w:type="dxa" w:w="9072"/>
            <w:vAlign w:val="center"/>
          </w:tcPr>
          <w:p>
            <w:pPr>
              <w:spacing w:after="40" w:line="252" w:lineRule="auto"/>
            </w:pPr>
            <w:r>
              <w:rPr>
                <w:b w:val="0"/>
                <w:sz w:val="18"/>
              </w:rPr>
              <w:t>Performance, retention, and diagnostics</w:t>
            </w:r>
          </w:p>
        </w:tc>
      </w:tr>
      <w:tr>
        <w:trPr>
          <w:cantSplit/>
        </w:trPr>
        <w:tc>
          <w:tcPr>
            <w:tcW w:type="dxa" w:w="864"/>
            <w:vAlign w:val="center"/>
          </w:tcPr>
          <w:p>
            <w:pPr>
              <w:spacing w:after="40" w:line="252" w:lineRule="auto"/>
            </w:pPr>
            <w:r>
              <w:rPr>
                <w:b w:val="0"/>
                <w:sz w:val="18"/>
              </w:rPr>
              <w:t>TR-090–091</w:t>
            </w:r>
          </w:p>
        </w:tc>
        <w:tc>
          <w:tcPr>
            <w:tcW w:type="dxa" w:w="9072"/>
            <w:vAlign w:val="center"/>
          </w:tcPr>
          <w:p>
            <w:pPr>
              <w:spacing w:after="40" w:line="252" w:lineRule="auto"/>
            </w:pPr>
            <w:r>
              <w:rPr>
                <w:b w:val="0"/>
                <w:sz w:val="18"/>
              </w:rPr>
              <w:t>Verification and release gates</w:t>
            </w:r>
          </w:p>
        </w:tc>
      </w:tr>
      <w:tr>
        <w:trPr>
          <w:cantSplit/>
        </w:trPr>
        <w:tc>
          <w:tcPr>
            <w:tcW w:type="dxa" w:w="864"/>
            <w:vAlign w:val="center"/>
          </w:tcPr>
          <w:p>
            <w:pPr>
              <w:spacing w:after="40" w:line="252" w:lineRule="auto"/>
            </w:pPr>
            <w:r>
              <w:rPr>
                <w:b w:val="0"/>
                <w:sz w:val="18"/>
              </w:rPr>
              <w:t>Traceability</w:t>
            </w:r>
          </w:p>
        </w:tc>
        <w:tc>
          <w:tcPr>
            <w:tcW w:type="dxa" w:w="9072"/>
            <w:vAlign w:val="center"/>
          </w:tcPr>
          <w:p>
            <w:pPr>
              <w:spacing w:after="40" w:line="252" w:lineRule="auto"/>
            </w:pPr>
            <w:r>
              <w:rPr>
                <w:b w:val="0"/>
                <w:sz w:val="18"/>
              </w:rPr>
              <w:t>Traceability and technical decisions</w:t>
            </w:r>
          </w:p>
        </w:tc>
      </w:tr>
    </w:tbl>
    <w:p>
      <w:pPr>
        <w:widowControl/>
        <w:spacing w:after="40" w:line="40" w:lineRule="exact" w:before="0"/>
      </w:pPr>
    </w:p>
    <w:p>
      <w:pPr>
        <w:pStyle w:val="Heading1"/>
        <w:pageBreakBefore/>
        <w:widowControl/>
      </w:pPr>
      <w:r>
        <w:t>Architecture and component boundaries</w:t>
      </w:r>
    </w:p>
    <w:p>
      <w:pPr>
        <w:widowControl/>
      </w:pPr>
      <w:r>
        <w:t>TR-001  The browser and CLI must use the same application service. A single service instance owns each workspace database and session control ledger. Browser tabs are clients; closing or refreshing a tab does not terminate runtime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088"/>
        <w:gridCol w:w="7848"/>
      </w:tblGrid>
      <w:tr>
        <w:trPr>
          <w:cantSplit/>
          <w:tblHeader/>
        </w:trPr>
        <w:tc>
          <w:tcPr>
            <w:tcW w:type="dxa" w:w="2088"/>
            <w:vAlign w:val="center"/>
            <w:shd w:fill="E8EDF2"/>
          </w:tcPr>
          <w:p>
            <w:pPr>
              <w:keepNext/>
              <w:spacing w:after="40" w:line="252" w:lineRule="auto"/>
            </w:pPr>
            <w:r>
              <w:rPr>
                <w:b/>
                <w:sz w:val="18"/>
              </w:rPr>
              <w:t>Component</w:t>
            </w:r>
          </w:p>
        </w:tc>
        <w:tc>
          <w:tcPr>
            <w:tcW w:type="dxa" w:w="7848"/>
            <w:vAlign w:val="center"/>
            <w:shd w:fill="E8EDF2"/>
          </w:tcPr>
          <w:p>
            <w:pPr>
              <w:keepNext/>
              <w:spacing w:after="40" w:line="252" w:lineRule="auto"/>
            </w:pPr>
            <w:r>
              <w:rPr>
                <w:b/>
                <w:sz w:val="18"/>
              </w:rPr>
              <w:t>Contract</w:t>
            </w:r>
          </w:p>
        </w:tc>
      </w:tr>
      <w:tr>
        <w:trPr>
          <w:cantSplit/>
        </w:trPr>
        <w:tc>
          <w:tcPr>
            <w:tcW w:type="dxa" w:w="2088"/>
            <w:vAlign w:val="center"/>
          </w:tcPr>
          <w:p>
            <w:pPr>
              <w:spacing w:after="40" w:line="252" w:lineRule="auto"/>
            </w:pPr>
            <w:r>
              <w:rPr>
                <w:b w:val="0"/>
                <w:sz w:val="18"/>
              </w:rPr>
              <w:t>Web client</w:t>
            </w:r>
          </w:p>
        </w:tc>
        <w:tc>
          <w:tcPr>
            <w:tcW w:type="dxa" w:w="7848"/>
            <w:vAlign w:val="center"/>
          </w:tcPr>
          <w:p>
            <w:pPr>
              <w:spacing w:after="40" w:line="252" w:lineRule="auto"/>
            </w:pPr>
            <w:r>
              <w:rPr>
                <w:b w:val="0"/>
                <w:sz w:val="18"/>
              </w:rPr>
              <w:t>React and TypeScript; task navigation, activity, attention, comparison, context preview, and capability-aware controls.</w:t>
            </w:r>
          </w:p>
        </w:tc>
      </w:tr>
      <w:tr>
        <w:trPr>
          <w:cantSplit/>
        </w:trPr>
        <w:tc>
          <w:tcPr>
            <w:tcW w:type="dxa" w:w="2088"/>
            <w:vAlign w:val="center"/>
          </w:tcPr>
          <w:p>
            <w:pPr>
              <w:spacing w:after="40" w:line="252" w:lineRule="auto"/>
            </w:pPr>
            <w:r>
              <w:rPr>
                <w:b w:val="0"/>
                <w:sz w:val="18"/>
              </w:rPr>
              <w:t>Application service</w:t>
            </w:r>
          </w:p>
        </w:tc>
        <w:tc>
          <w:tcPr>
            <w:tcW w:type="dxa" w:w="7848"/>
            <w:vAlign w:val="center"/>
          </w:tcPr>
          <w:p>
            <w:pPr>
              <w:spacing w:after="40" w:line="252" w:lineRule="auto"/>
            </w:pPr>
            <w:r>
              <w:rPr>
                <w:b w:val="0"/>
                <w:sz w:val="18"/>
              </w:rPr>
              <w:t>Python and FastAPI; validation, authentication, HTTP APIs, task policies, control ledger, and SSE replay.</w:t>
            </w:r>
          </w:p>
        </w:tc>
      </w:tr>
      <w:tr>
        <w:trPr>
          <w:cantSplit/>
        </w:trPr>
        <w:tc>
          <w:tcPr>
            <w:tcW w:type="dxa" w:w="2088"/>
            <w:vAlign w:val="center"/>
          </w:tcPr>
          <w:p>
            <w:pPr>
              <w:spacing w:after="40" w:line="252" w:lineRule="auto"/>
            </w:pPr>
            <w:r>
              <w:rPr>
                <w:b w:val="0"/>
                <w:sz w:val="18"/>
              </w:rPr>
              <w:t>Runtime manager</w:t>
            </w:r>
          </w:p>
        </w:tc>
        <w:tc>
          <w:tcPr>
            <w:tcW w:type="dxa" w:w="7848"/>
            <w:vAlign w:val="center"/>
          </w:tcPr>
          <w:p>
            <w:pPr>
              <w:spacing w:after="40" w:line="252" w:lineRule="auto"/>
            </w:pPr>
            <w:r>
              <w:rPr>
                <w:b w:val="0"/>
                <w:sz w:val="18"/>
              </w:rPr>
              <w:t>Talks to the session supervisor, serializes session mutations, reconciles native identity, and reports coverage gaps.</w:t>
            </w:r>
          </w:p>
        </w:tc>
      </w:tr>
      <w:tr>
        <w:trPr>
          <w:cantSplit/>
        </w:trPr>
        <w:tc>
          <w:tcPr>
            <w:tcW w:type="dxa" w:w="2088"/>
            <w:vAlign w:val="center"/>
          </w:tcPr>
          <w:p>
            <w:pPr>
              <w:spacing w:after="40" w:line="252" w:lineRule="auto"/>
            </w:pPr>
            <w:r>
              <w:rPr>
                <w:b w:val="0"/>
                <w:sz w:val="18"/>
              </w:rPr>
              <w:t>Session supervisor</w:t>
            </w:r>
          </w:p>
        </w:tc>
        <w:tc>
          <w:tcPr>
            <w:tcW w:type="dxa" w:w="7848"/>
            <w:vAlign w:val="center"/>
          </w:tcPr>
          <w:p>
            <w:pPr>
              <w:spacing w:after="40" w:line="252" w:lineRule="auto"/>
            </w:pPr>
            <w:r>
              <w:rPr>
                <w:b w:val="0"/>
                <w:sz w:val="18"/>
              </w:rPr>
              <w:t>Detached process that owns managed runtime processes and transport connections, spools events, and survives application service restarts.</w:t>
            </w:r>
          </w:p>
        </w:tc>
      </w:tr>
      <w:tr>
        <w:trPr>
          <w:cantSplit/>
        </w:trPr>
        <w:tc>
          <w:tcPr>
            <w:tcW w:type="dxa" w:w="2088"/>
            <w:vAlign w:val="center"/>
          </w:tcPr>
          <w:p>
            <w:pPr>
              <w:spacing w:after="40" w:line="252" w:lineRule="auto"/>
            </w:pPr>
            <w:r>
              <w:rPr>
                <w:b w:val="0"/>
                <w:sz w:val="18"/>
              </w:rPr>
              <w:t>Adapters</w:t>
            </w:r>
          </w:p>
        </w:tc>
        <w:tc>
          <w:tcPr>
            <w:tcW w:type="dxa" w:w="7848"/>
            <w:vAlign w:val="center"/>
          </w:tcPr>
          <w:p>
            <w:pPr>
              <w:spacing w:after="40" w:line="252" w:lineRule="auto"/>
            </w:pPr>
            <w:r>
              <w:rPr>
                <w:b w:val="0"/>
                <w:sz w:val="18"/>
              </w:rPr>
              <w:t>Discover and parse history; control managed sessions through supported transports; report versioned capabilities and event coverage.</w:t>
            </w:r>
          </w:p>
        </w:tc>
      </w:tr>
      <w:tr>
        <w:trPr>
          <w:cantSplit/>
        </w:trPr>
        <w:tc>
          <w:tcPr>
            <w:tcW w:type="dxa" w:w="2088"/>
            <w:vAlign w:val="center"/>
          </w:tcPr>
          <w:p>
            <w:pPr>
              <w:spacing w:after="40" w:line="252" w:lineRule="auto"/>
            </w:pPr>
            <w:r>
              <w:rPr>
                <w:b w:val="0"/>
                <w:sz w:val="18"/>
              </w:rPr>
              <w:t>Event and search services</w:t>
            </w:r>
          </w:p>
        </w:tc>
        <w:tc>
          <w:tcPr>
            <w:tcW w:type="dxa" w:w="7848"/>
            <w:vAlign w:val="center"/>
          </w:tcPr>
          <w:p>
            <w:pPr>
              <w:spacing w:after="40" w:line="252" w:lineRule="auto"/>
            </w:pPr>
            <w:r>
              <w:rPr>
                <w:b w:val="0"/>
                <w:sz w:val="18"/>
              </w:rPr>
              <w:t>Normalize, deduplicate, persist, project state, and index approved text using SQLite and FTS5.</w:t>
            </w:r>
          </w:p>
        </w:tc>
      </w:tr>
      <w:tr>
        <w:trPr>
          <w:cantSplit/>
        </w:trPr>
        <w:tc>
          <w:tcPr>
            <w:tcW w:type="dxa" w:w="2088"/>
            <w:vAlign w:val="center"/>
          </w:tcPr>
          <w:p>
            <w:pPr>
              <w:spacing w:after="40" w:line="252" w:lineRule="auto"/>
            </w:pPr>
            <w:r>
              <w:rPr>
                <w:b w:val="0"/>
                <w:sz w:val="18"/>
              </w:rPr>
              <w:t>Artifact service</w:t>
            </w:r>
          </w:p>
        </w:tc>
        <w:tc>
          <w:tcPr>
            <w:tcW w:type="dxa" w:w="7848"/>
            <w:vAlign w:val="center"/>
          </w:tcPr>
          <w:p>
            <w:pPr>
              <w:spacing w:after="40" w:line="252" w:lineRule="auto"/>
            </w:pPr>
            <w:r>
              <w:rPr>
                <w:b w:val="0"/>
                <w:sz w:val="18"/>
              </w:rPr>
              <w:t>Owns snapshots, finding versions, immutable context manifests, lineage, atomic file writes, and export.</w:t>
            </w:r>
          </w:p>
        </w:tc>
      </w:tr>
      <w:tr>
        <w:trPr>
          <w:cantSplit/>
        </w:trPr>
        <w:tc>
          <w:tcPr>
            <w:tcW w:type="dxa" w:w="2088"/>
            <w:vAlign w:val="center"/>
          </w:tcPr>
          <w:p>
            <w:pPr>
              <w:spacing w:after="40" w:line="252" w:lineRule="auto"/>
            </w:pPr>
            <w:r>
              <w:rPr>
                <w:b w:val="0"/>
                <w:sz w:val="18"/>
              </w:rPr>
              <w:t>Git and terminal services</w:t>
            </w:r>
          </w:p>
        </w:tc>
        <w:tc>
          <w:tcPr>
            <w:tcW w:type="dxa" w:w="7848"/>
            <w:vAlign w:val="center"/>
          </w:tcPr>
          <w:p>
            <w:pPr>
              <w:spacing w:after="40" w:line="252" w:lineRule="auto"/>
            </w:pPr>
            <w:r>
              <w:rPr>
                <w:b w:val="0"/>
                <w:sz w:val="18"/>
              </w:rPr>
              <w:t>Read repository metadata; invoke validated native interfaces; create worktrees only when explicitly selected.</w:t>
            </w:r>
          </w:p>
        </w:tc>
      </w:tr>
    </w:tbl>
    <w:p>
      <w:pPr>
        <w:widowControl/>
        <w:spacing w:after="40" w:line="40" w:lineRule="exact" w:before="0"/>
      </w:pPr>
    </w:p>
    <w:p>
      <w:pPr>
        <w:pStyle w:val="Heading2"/>
        <w:widowControl/>
      </w:pPr>
      <w:r>
        <w:t>Process and transport design</w:t>
      </w:r>
    </w:p>
    <w:p>
      <w:pPr>
        <w:widowControl/>
      </w:pPr>
      <w:r>
        <w:t xml:space="preserve">TR-002  Use a long-lived Python service with asynchronous adapter workers. Prefer subprocess stdio for documented process protocols; use a small Node sidecar only when a validated SDK requires it. Frame sidecar messages with a versioned typed protocol, correlation IDs, bounded payloads, and separate stderr diagnostics. Managed runtime processes and sidecars are children of the session supervisor, not of the application service. No browser connection talks directly to a harness.</w:t>
      </w:r>
    </w:p>
    <w:p>
      <w:pPr>
        <w:widowControl/>
      </w:pPr>
      <w:r>
        <w:t>TR-003  Proposed dependencies are Python 3.12 or later, FastAPI, Pydantic, SQLAlchemy, Alembic, SQLite with FTS5, React, and TypeScript. Ship a prebuilt frontend so users do not need Node merely to view the dashboard. Resolve and lock exact dependency versions in the build; determine adapter-specific Node requirements during Phase 0.</w:t>
      </w:r>
    </w:p>
    <w:p>
      <w:pPr>
        <w:pStyle w:val="Heading2"/>
        <w:widowControl/>
      </w:pPr>
      <w:r>
        <w:t>Commit and projection boundary</w:t>
      </w:r>
    </w:p>
    <w:p>
      <w:pPr>
        <w:widowControl/>
      </w:pPr>
      <w:r>
        <w:t>TR-004  Commit a normalized event and its ingestion checkpoint atomically before notifying browser clients. Use one bounded writer queue, short transactions, foreign keys, and WAL mode. Projected session summaries and FTS indexes can be rebuilt from retained canonical records. A failed browser stream never rolls back runtime work.</w:t>
      </w:r>
    </w:p>
    <w:p>
      <w:pPr>
        <w:widowControl/>
      </w:pPr>
      <w:r>
        <w:t>TR-005  Avoid terminal screen scraping as the control contract. Native transcript indexing is read-only, and discovered files are never rewritten to inject messages. Unsupported features stay unavailable even if another runtime supports them.</w:t>
      </w:r>
    </w:p>
    <w:p>
      <w:pPr>
        <w:widowControl/>
      </w:pPr>
      <w:r>
        <w:t xml:space="preserve">TR-006  Run one session supervisor per data directory as a detached process with its own OS lock. It talks to the application service over a user-restricted local socket using a versioned, typed protocol with correlation IDs. The supervisor owns runtime processes and connections, persists events to a bounded spool until the service acknowledges their cursor, and replays unacknowledged events on reconnect. A service restart reconnects to the supervisor and reconciles without relaunching sessions or resending input. Upgrading the supervisor requires no active managed runs or an explicit drain. If the supervisor exits, affected sessions are marked disconnected and offered native resume; nothing relaunches automatically. Sessions are not expected to survive a host reboot. A runtime integrated through an in-process SDK, such as the Claude Agent SDK, runs in a per-session runtime host process under the supervisor that speaks the same framed protocol, so the supervisor stays runtime-agnostic. Its approval callback waits in the runtime host until the service answers with the native request ID and generation; it is never answered automatically. Adapter upgrades apply to newly launched runtime hosts and need no supervisor drain.</w:t>
      </w:r>
    </w:p>
    <w:p>
      <w:pPr>
        <w:pStyle w:val="Heading1"/>
        <w:pageBreakBefore/>
        <w:widowControl/>
      </w:pPr>
      <w:r>
        <w:t>Adapter contracts and integration validation</w:t>
      </w:r>
    </w:p>
    <w:p>
      <w:pPr>
        <w:widowControl/>
      </w:pPr>
      <w:r>
        <w:t xml:space="preserve">TR-010  Implement a shared adapter interface and isolate protocol details by runtime. The identity key is host ID, runtime name, and native session ID; the Robin UUID is separate. A launch result must include the native identity, working directory, runtime version, ownership mode, capability report, permission mode, sandbox, and loaded settings sources. Managed sessions load the user's harness settings by default; Robin never selects a mode more permissive than the harness default. When Robin supplies the approval callback, every request is surfaced as an attention item and never answered automatically.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232"/>
        <w:gridCol w:w="7704"/>
      </w:tblGrid>
      <w:tr>
        <w:trPr>
          <w:cantSplit/>
          <w:tblHeader/>
        </w:trPr>
        <w:tc>
          <w:tcPr>
            <w:tcW w:type="dxa" w:w="2232"/>
            <w:vAlign w:val="center"/>
            <w:shd w:fill="E8EDF2"/>
          </w:tcPr>
          <w:p>
            <w:pPr>
              <w:keepNext/>
              <w:spacing w:after="40" w:line="252" w:lineRule="auto"/>
            </w:pPr>
            <w:r>
              <w:rPr>
                <w:b/>
                <w:sz w:val="18"/>
              </w:rPr>
              <w:t>Operation</w:t>
            </w:r>
          </w:p>
        </w:tc>
        <w:tc>
          <w:tcPr>
            <w:tcW w:type="dxa" w:w="7704"/>
            <w:vAlign w:val="center"/>
            <w:shd w:fill="E8EDF2"/>
          </w:tcPr>
          <w:p>
            <w:pPr>
              <w:keepNext/>
              <w:spacing w:after="40" w:line="252" w:lineRule="auto"/>
            </w:pPr>
            <w:r>
              <w:rPr>
                <w:b/>
                <w:sz w:val="18"/>
              </w:rPr>
              <w:t>Required behavior</w:t>
            </w:r>
          </w:p>
        </w:tc>
      </w:tr>
      <w:tr>
        <w:trPr>
          <w:cantSplit/>
        </w:trPr>
        <w:tc>
          <w:tcPr>
            <w:tcW w:type="dxa" w:w="2232"/>
            <w:vAlign w:val="center"/>
          </w:tcPr>
          <w:p>
            <w:pPr>
              <w:spacing w:after="40" w:line="252" w:lineRule="auto"/>
            </w:pPr>
            <w:r>
              <w:rPr>
                <w:b w:val="0"/>
                <w:sz w:val="18"/>
              </w:rPr>
              <w:t>probe and capabilities</w:t>
            </w:r>
          </w:p>
        </w:tc>
        <w:tc>
          <w:tcPr>
            <w:tcW w:type="dxa" w:w="7704"/>
            <w:vAlign w:val="center"/>
          </w:tcPr>
          <w:p>
            <w:pPr>
              <w:spacing w:after="40" w:line="252" w:lineRule="auto"/>
            </w:pPr>
            <w:r>
              <w:rPr>
                <w:b w:val="0"/>
                <w:sz w:val="18"/>
              </w:rPr>
              <w:t>Return installed version, authentication readiness, tested range, control support, input modes, and event coverage.</w:t>
            </w:r>
          </w:p>
        </w:tc>
      </w:tr>
      <w:tr>
        <w:trPr>
          <w:cantSplit/>
        </w:trPr>
        <w:tc>
          <w:tcPr>
            <w:tcW w:type="dxa" w:w="2232"/>
            <w:vAlign w:val="center"/>
          </w:tcPr>
          <w:p>
            <w:pPr>
              <w:spacing w:after="40" w:line="252" w:lineRule="auto"/>
            </w:pPr>
            <w:r>
              <w:rPr>
                <w:b w:val="0"/>
                <w:sz w:val="18"/>
              </w:rPr>
              <w:t>discover and parse</w:t>
            </w:r>
          </w:p>
        </w:tc>
        <w:tc>
          <w:tcPr>
            <w:tcW w:type="dxa" w:w="7704"/>
            <w:vAlign w:val="center"/>
          </w:tcPr>
          <w:p>
            <w:pPr>
              <w:spacing w:after="40" w:line="252" w:lineRule="auto"/>
            </w:pPr>
            <w:r>
              <w:rPr>
                <w:b w:val="0"/>
                <w:sz w:val="18"/>
              </w:rPr>
              <w:t>Yield source metadata and normalized history without changing source files; tolerate unknown fields and incomplete tails.</w:t>
            </w:r>
          </w:p>
        </w:tc>
      </w:tr>
      <w:tr>
        <w:trPr>
          <w:cantSplit/>
        </w:trPr>
        <w:tc>
          <w:tcPr>
            <w:tcW w:type="dxa" w:w="2232"/>
            <w:vAlign w:val="center"/>
          </w:tcPr>
          <w:p>
            <w:pPr>
              <w:spacing w:after="40" w:line="252" w:lineRule="auto"/>
            </w:pPr>
            <w:r>
              <w:rPr>
                <w:b w:val="0"/>
                <w:sz w:val="18"/>
              </w:rPr>
              <w:t>launch and resume</w:t>
            </w:r>
          </w:p>
        </w:tc>
        <w:tc>
          <w:tcPr>
            <w:tcW w:type="dxa" w:w="7704"/>
            <w:vAlign w:val="center"/>
          </w:tcPr>
          <w:p>
            <w:pPr>
              <w:spacing w:after="40" w:line="252" w:lineRule="auto"/>
            </w:pPr>
            <w:r>
              <w:rPr>
                <w:b w:val="0"/>
                <w:sz w:val="18"/>
              </w:rPr>
              <w:t>Validate request and current state; preserve native identity; return a handle or a typed failure.</w:t>
            </w:r>
          </w:p>
        </w:tc>
      </w:tr>
      <w:tr>
        <w:trPr>
          <w:cantSplit/>
        </w:trPr>
        <w:tc>
          <w:tcPr>
            <w:tcW w:type="dxa" w:w="2232"/>
            <w:vAlign w:val="center"/>
          </w:tcPr>
          <w:p>
            <w:pPr>
              <w:spacing w:after="40" w:line="252" w:lineRule="auto"/>
            </w:pPr>
            <w:r>
              <w:rPr>
                <w:b w:val="0"/>
                <w:sz w:val="18"/>
              </w:rPr>
              <w:t>events and reconcile</w:t>
            </w:r>
          </w:p>
        </w:tc>
        <w:tc>
          <w:tcPr>
            <w:tcW w:type="dxa" w:w="7704"/>
            <w:vAlign w:val="center"/>
          </w:tcPr>
          <w:p>
            <w:pPr>
              <w:spacing w:after="40" w:line="252" w:lineRule="auto"/>
            </w:pPr>
            <w:r>
              <w:rPr>
                <w:b w:val="0"/>
                <w:sz w:val="18"/>
              </w:rPr>
              <w:t>Stream supported events; query or observe authoritative state after loss of connection.</w:t>
            </w:r>
          </w:p>
        </w:tc>
      </w:tr>
      <w:tr>
        <w:trPr>
          <w:cantSplit/>
        </w:trPr>
        <w:tc>
          <w:tcPr>
            <w:tcW w:type="dxa" w:w="2232"/>
            <w:vAlign w:val="center"/>
          </w:tcPr>
          <w:p>
            <w:pPr>
              <w:spacing w:after="40" w:line="252" w:lineRule="auto"/>
            </w:pPr>
            <w:r>
              <w:rPr>
                <w:b w:val="0"/>
                <w:sz w:val="18"/>
              </w:rPr>
              <w:t>send and interrupt</w:t>
            </w:r>
          </w:p>
        </w:tc>
        <w:tc>
          <w:tcPr>
            <w:tcW w:type="dxa" w:w="7704"/>
            <w:vAlign w:val="center"/>
          </w:tcPr>
          <w:p>
            <w:pPr>
              <w:spacing w:after="40" w:line="252" w:lineRule="auto"/>
            </w:pPr>
            <w:r>
              <w:rPr>
                <w:b w:val="0"/>
                <w:sz w:val="18"/>
              </w:rPr>
              <w:t>Accept action ID and supported input mode; report acknowledgement separately from work completion.</w:t>
            </w:r>
          </w:p>
        </w:tc>
      </w:tr>
      <w:tr>
        <w:trPr>
          <w:cantSplit/>
        </w:trPr>
        <w:tc>
          <w:tcPr>
            <w:tcW w:type="dxa" w:w="2232"/>
            <w:vAlign w:val="center"/>
          </w:tcPr>
          <w:p>
            <w:pPr>
              <w:spacing w:after="40" w:line="252" w:lineRule="auto"/>
            </w:pPr>
            <w:r>
              <w:rPr>
                <w:b w:val="0"/>
                <w:sz w:val="18"/>
              </w:rPr>
              <w:t>respond and terminal</w:t>
            </w:r>
          </w:p>
        </w:tc>
        <w:tc>
          <w:tcPr>
            <w:tcW w:type="dxa" w:w="7704"/>
            <w:vAlign w:val="center"/>
          </w:tcPr>
          <w:p>
            <w:pPr>
              <w:spacing w:after="40" w:line="252" w:lineRule="auto"/>
            </w:pPr>
            <w:r>
              <w:rPr>
                <w:b w:val="0"/>
                <w:sz w:val="18"/>
              </w:rPr>
              <w:t>Preserve native request IDs for replies; return validated terminal arguments or an explicit unsupported reason.</w:t>
            </w:r>
          </w:p>
        </w:tc>
      </w:tr>
    </w:tbl>
    <w:p>
      <w:pPr>
        <w:widowControl/>
        <w:spacing w:after="40" w:line="40" w:lineRule="exact" w:before="0"/>
      </w:pPr>
    </w:p>
    <w:p>
      <w:pPr>
        <w:pStyle w:val="Heading2"/>
        <w:widowControl/>
      </w:pPr>
      <w:r>
        <w:t>Integration candidates</w:t>
      </w:r>
    </w:p>
    <w:p>
      <w:pPr>
        <w:widowControl/>
      </w:pPr>
      <w:r>
        <w:t>The Claude Agent SDK adapter is built first, because Claude Code is the primary runtime; an API key is acceptable if a subscription login is not accepted. Codex app-server is the fallback first adapter and the candidate for structured session and turn control. Its documented stdio protocol and generated schemas allow a version-specific client. Claude Agent SDK is the candidate for programmatic Claude Code execution. Pi RPC provides a process interface; use its SDK only if required capabilities justify a sidecar. These selections are implementation proposals, not a claim of compatible authentication or resume across every version. References appear under Source baseline and integration references.</w:t>
      </w:r>
    </w:p>
    <w:p>
      <w:pPr>
        <w:widowControl/>
      </w:pPr>
      <w:r>
        <w:t xml:space="preserve">TR-011  Capabilities must be computed for the installed adapter version and session mode. Report launch, native resume, new turn, queued follow-up, steering, interruption, request response, terminal access, and replay individually, plus terminal mode (attach, handoff, or unavailable), finding publication path, and whether review independence is enforced. Include unsupported reasons and coverage by event family. Externally discovered sessions default to observed mode until attachment is validated.</w:t>
      </w:r>
    </w:p>
    <w:p>
      <w:pPr>
        <w:pStyle w:val="Heading2"/>
        <w:widowControl/>
      </w:pPr>
      <w:r>
        <w:t>Phase 0 evidence</w:t>
      </w:r>
    </w:p>
    <w:p>
      <w:pPr>
        <w:pStyle w:val="ListBullet"/>
        <w:widowControl/>
      </w:pPr>
      <w:r>
        <w:t>Run each harness on macOS on the reference machine; record exact executable or SDK version, account method, launch arguments, session storage, and permission settings.</w:t>
      </w:r>
    </w:p>
    <w:p>
      <w:pPr>
        <w:pStyle w:val="ListBullet"/>
        <w:widowControl/>
      </w:pPr>
      <w:r>
        <w:t>Prove launch, native ID capture, event streaming, follow-up, interruption, input requests, native resume, terminal handoff, finding publication, and restart behavior. Classify every unsupported operation explicitly.</w:t>
      </w:r>
    </w:p>
    <w:p>
      <w:pPr>
        <w:pStyle w:val="ListBullet"/>
        <w:widowControl/>
      </w:pPr>
      <w:r>
        <w:t>Run each transport under the session supervisor and prove it survives an application service restart; record transports that need tmux or another terminal host.</w:t>
      </w:r>
    </w:p>
    <w:p>
      <w:pPr>
        <w:pStyle w:val="ListBullet"/>
        <w:widowControl/>
      </w:pPr>
      <w:r>
        <w:t>Verify which account and credential types each programmatic integration accepts, including subscription logins, and record the cost implication. Classify each runtime as live or observed-only against the PRD minimum capability floor. Validate the Claude Agent SDK first. Record each runtime’s hook mechanism and configuration location for TR-076.</w:t>
      </w:r>
    </w:p>
    <w:p>
      <w:pPr>
        <w:pStyle w:val="ListBullet"/>
        <w:widowControl/>
      </w:pPr>
      <w:r>
        <w:t>Test unknown versions and malformed protocol output in isolation. One failing adapter must not prevent other adapters, tasks, or historical search from loading.</w:t>
      </w:r>
    </w:p>
    <w:p>
      <w:pPr>
        <w:widowControl/>
      </w:pPr>
      <w:r>
        <w:t>TR-012  Authentication remains within each runtime’s supported flow. Any login action is user initiated. Never assume subscription credentials work with a programmatic integration; verify account and credential requirements before enabling Launch.</w:t>
      </w:r>
    </w:p>
    <w:p>
      <w:pPr>
        <w:pStyle w:val="Heading1"/>
        <w:pageBreakBefore/>
        <w:widowControl/>
      </w:pPr>
      <w:r>
        <w:t>Persistent entities and artifact ownership</w:t>
      </w:r>
    </w:p>
    <w:p>
      <w:pPr>
        <w:widowControl/>
      </w:pPr>
      <w:r>
        <w:t xml:space="preserve">TR-020  Use generated stable IDs, UTC timestamps, schema versions, and explicit foreign keys. Retain native source references and content hashes. A session may appear in multiple task histories through an association table; each run is bound to one task when it starts, and late or queued events keep that attribution. Work for a different task starts a new native session by default; continuing an existing session requires confirmation and the UI discloses that prior task context is retained.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376"/>
        <w:gridCol w:w="7560"/>
      </w:tblGrid>
      <w:tr>
        <w:trPr>
          <w:cantSplit/>
          <w:tblHeader/>
        </w:trPr>
        <w:tc>
          <w:tcPr>
            <w:tcW w:type="dxa" w:w="2376"/>
            <w:vAlign w:val="center"/>
            <w:shd w:fill="E8EDF2"/>
          </w:tcPr>
          <w:p>
            <w:pPr>
              <w:keepNext/>
              <w:spacing w:after="40" w:line="252" w:lineRule="auto"/>
            </w:pPr>
            <w:r>
              <w:rPr>
                <w:b/>
                <w:sz w:val="18"/>
              </w:rPr>
              <w:t>Record</w:t>
            </w:r>
          </w:p>
        </w:tc>
        <w:tc>
          <w:tcPr>
            <w:tcW w:type="dxa" w:w="7560"/>
            <w:vAlign w:val="center"/>
            <w:shd w:fill="E8EDF2"/>
          </w:tcPr>
          <w:p>
            <w:pPr>
              <w:keepNext/>
              <w:spacing w:after="40" w:line="252" w:lineRule="auto"/>
            </w:pPr>
            <w:r>
              <w:rPr>
                <w:b/>
                <w:sz w:val="18"/>
              </w:rPr>
              <w:t>Minimum fields and constraints</w:t>
            </w:r>
          </w:p>
        </w:tc>
      </w:tr>
      <w:tr>
        <w:trPr>
          <w:cantSplit/>
        </w:trPr>
        <w:tc>
          <w:tcPr>
            <w:tcW w:type="dxa" w:w="2376"/>
            <w:vAlign w:val="center"/>
          </w:tcPr>
          <w:p>
            <w:pPr>
              <w:spacing w:after="40" w:line="252" w:lineRule="auto"/>
            </w:pPr>
            <w:r>
              <w:rPr>
                <w:b w:val="0"/>
                <w:sz w:val="18"/>
              </w:rPr>
              <w:t>Project and Task</w:t>
            </w:r>
          </w:p>
        </w:tc>
        <w:tc>
          <w:tcPr>
            <w:tcW w:type="dxa" w:w="7560"/>
            <w:vAlign w:val="center"/>
          </w:tcPr>
          <w:p>
            <w:pPr>
              <w:spacing w:after="40" w:line="252" w:lineRule="auto"/>
            </w:pPr>
            <w:r>
              <w:rPr>
                <w:b w:val="0"/>
                <w:sz w:val="18"/>
              </w:rPr>
              <w:t>Project ID, canonical path, name, Git metadata; task ID, project ID, objective, user status, created and archived times.</w:t>
            </w:r>
          </w:p>
        </w:tc>
      </w:tr>
      <w:tr>
        <w:trPr>
          <w:cantSplit/>
        </w:trPr>
        <w:tc>
          <w:tcPr>
            <w:tcW w:type="dxa" w:w="2376"/>
            <w:vAlign w:val="center"/>
          </w:tcPr>
          <w:p>
            <w:pPr>
              <w:spacing w:after="40" w:line="252" w:lineRule="auto"/>
            </w:pPr>
            <w:r>
              <w:rPr>
                <w:b w:val="0"/>
                <w:sz w:val="18"/>
              </w:rPr>
              <w:t>Session and TaskSession</w:t>
            </w:r>
          </w:p>
        </w:tc>
        <w:tc>
          <w:tcPr>
            <w:tcW w:type="dxa" w:w="7560"/>
            <w:vAlign w:val="center"/>
          </w:tcPr>
          <w:p>
            <w:pPr>
              <w:spacing w:after="40" w:line="252" w:lineRule="auto"/>
            </w:pPr>
            <w:r>
              <w:rPr>
                <w:b w:val="0"/>
                <w:sz w:val="18"/>
              </w:rPr>
              <w:t>Runtime, host, native ID, mode, capability snapshot, control owner and lease generation, latest evidence; association role and attachment time.</w:t>
            </w:r>
          </w:p>
        </w:tc>
      </w:tr>
      <w:tr>
        <w:trPr>
          <w:cantSplit/>
        </w:trPr>
        <w:tc>
          <w:tcPr>
            <w:tcW w:type="dxa" w:w="2376"/>
            <w:vAlign w:val="center"/>
          </w:tcPr>
          <w:p>
            <w:pPr>
              <w:spacing w:after="40" w:line="252" w:lineRule="auto"/>
            </w:pPr>
            <w:r>
              <w:rPr>
                <w:b w:val="0"/>
                <w:sz w:val="18"/>
              </w:rPr>
              <w:t>Run and Connection</w:t>
            </w:r>
          </w:p>
        </w:tc>
        <w:tc>
          <w:tcPr>
            <w:tcW w:type="dxa" w:w="7560"/>
            <w:vAlign w:val="center"/>
          </w:tcPr>
          <w:p>
            <w:pPr>
              <w:spacing w:after="40" w:line="252" w:lineRule="auto"/>
            </w:pPr>
            <w:r>
              <w:rPr>
                <w:b w:val="0"/>
                <w:sz w:val="18"/>
              </w:rPr>
              <w:t>Run ID, session ID, task ID, native turn ID, start/end and outcome; connection generation, supervisor generation, last seen, coverage, cursor.</w:t>
            </w:r>
          </w:p>
        </w:tc>
      </w:tr>
      <w:tr>
        <w:trPr>
          <w:cantSplit/>
        </w:trPr>
        <w:tc>
          <w:tcPr>
            <w:tcW w:type="dxa" w:w="2376"/>
            <w:vAlign w:val="center"/>
          </w:tcPr>
          <w:p>
            <w:pPr>
              <w:spacing w:after="40" w:line="252" w:lineRule="auto"/>
            </w:pPr>
            <w:r>
              <w:rPr>
                <w:b w:val="0"/>
                <w:sz w:val="18"/>
              </w:rPr>
              <w:t>Event and SourceCheckpoint</w:t>
            </w:r>
          </w:p>
        </w:tc>
        <w:tc>
          <w:tcPr>
            <w:tcW w:type="dxa" w:w="7560"/>
            <w:vAlign w:val="center"/>
          </w:tcPr>
          <w:p>
            <w:pPr>
              <w:spacing w:after="40" w:line="252" w:lineRule="auto"/>
            </w:pPr>
            <w:r>
              <w:rPr>
                <w:b w:val="0"/>
                <w:sz w:val="18"/>
              </w:rPr>
              <w:t>Global cursor, native event identity, type, run/session/task, source time, ingestion time, evidence kind, payload reference and hash; source generation and offset.</w:t>
            </w:r>
          </w:p>
        </w:tc>
      </w:tr>
      <w:tr>
        <w:trPr>
          <w:cantSplit/>
        </w:trPr>
        <w:tc>
          <w:tcPr>
            <w:tcW w:type="dxa" w:w="2376"/>
            <w:vAlign w:val="center"/>
          </w:tcPr>
          <w:p>
            <w:pPr>
              <w:spacing w:after="40" w:line="252" w:lineRule="auto"/>
            </w:pPr>
            <w:r>
              <w:rPr>
                <w:b w:val="0"/>
                <w:sz w:val="18"/>
              </w:rPr>
              <w:t>ControlAction</w:t>
            </w:r>
          </w:p>
        </w:tc>
        <w:tc>
          <w:tcPr>
            <w:tcW w:type="dxa" w:w="7560"/>
            <w:vAlign w:val="center"/>
          </w:tcPr>
          <w:p>
            <w:pPr>
              <w:spacing w:after="40" w:line="252" w:lineRule="auto"/>
            </w:pPr>
            <w:r>
              <w:rPr>
                <w:b w:val="0"/>
                <w:sz w:val="18"/>
              </w:rPr>
              <w:t>Client action ID, target, type, request hash, expected generation, payload reference, timestamps, native correlation, state, error.</w:t>
            </w:r>
          </w:p>
        </w:tc>
      </w:tr>
      <w:tr>
        <w:trPr>
          <w:cantSplit/>
        </w:trPr>
        <w:tc>
          <w:tcPr>
            <w:tcW w:type="dxa" w:w="2376"/>
            <w:vAlign w:val="center"/>
          </w:tcPr>
          <w:p>
            <w:pPr>
              <w:spacing w:after="40" w:line="252" w:lineRule="auto"/>
            </w:pPr>
            <w:r>
              <w:rPr>
                <w:b w:val="0"/>
                <w:sz w:val="18"/>
              </w:rPr>
              <w:t>AttentionItem</w:t>
            </w:r>
          </w:p>
        </w:tc>
        <w:tc>
          <w:tcPr>
            <w:tcW w:type="dxa" w:w="7560"/>
            <w:vAlign w:val="center"/>
          </w:tcPr>
          <w:p>
            <w:pPr>
              <w:spacing w:after="40" w:line="252" w:lineRule="auto"/>
            </w:pPr>
            <w:r>
              <w:rPr>
                <w:b w:val="0"/>
                <w:sz w:val="18"/>
              </w:rPr>
              <w:t>Kind (question, approval, failure, finding_review), session/task, optional native request ID and generation, state including handed_off, expiry, allowed responses, originating event, resolution action.</w:t>
            </w:r>
          </w:p>
        </w:tc>
      </w:tr>
      <w:tr>
        <w:trPr>
          <w:cantSplit/>
        </w:trPr>
        <w:tc>
          <w:tcPr>
            <w:tcW w:type="dxa" w:w="2376"/>
            <w:vAlign w:val="center"/>
          </w:tcPr>
          <w:p>
            <w:pPr>
              <w:spacing w:after="40" w:line="252" w:lineRule="auto"/>
            </w:pPr>
            <w:r>
              <w:rPr>
                <w:b w:val="0"/>
                <w:sz w:val="18"/>
              </w:rPr>
              <w:t>Artifact and FindingVersion</w:t>
            </w:r>
          </w:p>
        </w:tc>
        <w:tc>
          <w:tcPr>
            <w:tcW w:type="dxa" w:w="7560"/>
            <w:vAlign w:val="center"/>
          </w:tcPr>
          <w:p>
            <w:pPr>
              <w:spacing w:after="40" w:line="252" w:lineRule="auto"/>
            </w:pPr>
            <w:r>
              <w:rPr>
                <w:b w:val="0"/>
                <w:sz w:val="18"/>
              </w:rPr>
              <w:t>Task, media type, owned path, content hash, source references; finding ID, immutable version, author union, submission ID, claims, recommendations, questions, parents.</w:t>
            </w:r>
          </w:p>
        </w:tc>
      </w:tr>
      <w:tr>
        <w:trPr>
          <w:cantSplit/>
        </w:trPr>
        <w:tc>
          <w:tcPr>
            <w:tcW w:type="dxa" w:w="2376"/>
            <w:vAlign w:val="center"/>
          </w:tcPr>
          <w:p>
            <w:pPr>
              <w:spacing w:after="40" w:line="252" w:lineRule="auto"/>
            </w:pPr>
            <w:r>
              <w:rPr>
                <w:b w:val="0"/>
                <w:sz w:val="18"/>
              </w:rPr>
              <w:t>ContextManifest and Delivery</w:t>
            </w:r>
          </w:p>
        </w:tc>
        <w:tc>
          <w:tcPr>
            <w:tcW w:type="dxa" w:w="7560"/>
            <w:vAlign w:val="center"/>
          </w:tcPr>
          <w:p>
            <w:pPr>
              <w:spacing w:after="40" w:line="252" w:lineRule="auto"/>
            </w:pPr>
            <w:r>
              <w:rPr>
                <w:b w:val="0"/>
                <w:sz w:val="18"/>
              </w:rPr>
              <w:t>Selected source versions and hashes, target, exact approved payload hash, redactions, bounds, estimate, approval time; action and acknowledgement.</w:t>
            </w:r>
          </w:p>
        </w:tc>
      </w:tr>
      <w:tr>
        <w:trPr>
          <w:cantSplit/>
        </w:trPr>
        <w:tc>
          <w:tcPr>
            <w:tcW w:type="dxa" w:w="2376"/>
            <w:vAlign w:val="center"/>
          </w:tcPr>
          <w:p>
            <w:pPr>
              <w:spacing w:after="40" w:line="252" w:lineRule="auto"/>
            </w:pPr>
            <w:r>
              <w:rPr>
                <w:b w:val="0"/>
                <w:sz w:val="18"/>
              </w:rPr>
              <w:t>RetrievalGrant</w:t>
            </w:r>
          </w:p>
        </w:tc>
        <w:tc>
          <w:tcPr>
            <w:tcW w:type="dxa" w:w="7560"/>
            <w:vAlign w:val="center"/>
          </w:tcPr>
          <w:p>
            <w:pPr>
              <w:spacing w:after="40" w:line="252" w:lineRule="auto"/>
            </w:pPr>
            <w:r>
              <w:rPr>
                <w:b w:val="0"/>
                <w:sz w:val="18"/>
              </w:rPr>
              <w:t>Session, task, exact artifact versions or excerpt ranges, approving action, issued and revoked times; each read records the returned content hash.</w:t>
            </w:r>
          </w:p>
        </w:tc>
      </w:tr>
      <w:tr>
        <w:trPr>
          <w:cantSplit/>
        </w:trPr>
        <w:tc>
          <w:tcPr>
            <w:tcW w:type="dxa" w:w="2376"/>
            <w:vAlign w:val="center"/>
          </w:tcPr>
          <w:p>
            <w:pPr>
              <w:spacing w:after="40" w:line="252" w:lineRule="auto"/>
            </w:pPr>
            <w:r>
              <w:rPr>
                <w:b w:val="0"/>
                <w:sz w:val="18"/>
              </w:rPr>
              <w:t>LineageEdge and AuditEntry</w:t>
            </w:r>
          </w:p>
        </w:tc>
        <w:tc>
          <w:tcPr>
            <w:tcW w:type="dxa" w:w="7560"/>
            <w:vAlign w:val="center"/>
          </w:tcPr>
          <w:p>
            <w:pPr>
              <w:spacing w:after="40" w:line="252" w:lineRule="auto"/>
            </w:pPr>
            <w:r>
              <w:rPr>
                <w:b w:val="0"/>
                <w:sz w:val="18"/>
              </w:rPr>
              <w:t>Parent/child versions and relation; user action, affected IDs, timestamp, safe outcome, diagnostic correlation.</w:t>
            </w:r>
          </w:p>
        </w:tc>
      </w:tr>
    </w:tbl>
    <w:p>
      <w:pPr>
        <w:widowControl/>
        <w:spacing w:after="40" w:line="40" w:lineRule="exact" w:before="0"/>
      </w:pPr>
    </w:p>
    <w:p>
      <w:pPr>
        <w:pStyle w:val="Heading2"/>
        <w:widowControl/>
      </w:pPr>
      <w:r>
        <w:t>Storage rules</w:t>
      </w:r>
    </w:p>
    <w:p>
      <w:pPr>
        <w:widowControl/>
      </w:pPr>
      <w:r>
        <w:t xml:space="preserve">TR-021  Proposed default: keep database, task artifacts, and logs in the operating system’s user application-data directory. Optional .robin task exports are explicit and must identify repository visibility. Store attachment references or approved snapshots without modifying originals; calculate hashes when attaching and sending. Keep project_root, execution_cwd, and artifact_store separate: execution_cwd is the project root or a selected worktree and never the artifact store. Unshared findings are never written inside a project or execution directory.</w:t>
      </w:r>
    </w:p>
    <w:p>
      <w:pPr>
        <w:widowControl/>
      </w:pPr>
      <w:r>
        <w:t>TR-022  Write owned artifacts to a temporary sibling file, flush, and atomically rename before committing the metadata reference. On startup reconcile orphaned temporary files and missing artifact references. Finding and manifest versions are immutable; corrections create new versions and lineage links.</w:t>
      </w:r>
    </w:p>
    <w:p>
      <w:pPr>
        <w:widowControl/>
      </w:pPr>
      <w:r>
        <w:t>TR-023  Unique constraints must cover native session identity, client action ID, and a source-qualified native event identity. Archive affects Robin visibility only. Retention or deletion of Robin copies does not delete native sessions, worktrees, or runtime credentials.</w:t>
      </w:r>
    </w:p>
    <w:p>
      <w:pPr>
        <w:pStyle w:val="Heading1"/>
        <w:pageBreakBefore/>
        <w:widowControl/>
      </w:pPr>
      <w:r>
        <w:t>Event ingestion and dashboard synchronization</w:t>
      </w:r>
    </w:p>
    <w:p>
      <w:pPr>
        <w:widowControl/>
      </w:pPr>
      <w:r>
        <w:t>TR-030  Use one normalized envelope for live events and imported history. Required fields: event_id, schema_version, global_cursor, runtime, native_session_id, Robin session_id, optional run_id and task_id, source_id, source_generation, source_event_id or offset, source_time, ingested_at, event_type, evidence_kind, payload_ref, and content_hash. Evidence is reported, observed, inferred, or unknown.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160"/>
        <w:gridCol w:w="7776"/>
      </w:tblGrid>
      <w:tr>
        <w:trPr>
          <w:cantSplit/>
          <w:tblHeader/>
        </w:trPr>
        <w:tc>
          <w:tcPr>
            <w:tcW w:type="dxa" w:w="2160"/>
            <w:vAlign w:val="center"/>
            <w:shd w:fill="E8EDF2"/>
          </w:tcPr>
          <w:p>
            <w:pPr>
              <w:keepNext/>
              <w:spacing w:after="40" w:line="252" w:lineRule="auto"/>
            </w:pPr>
            <w:r>
              <w:rPr>
                <w:b/>
                <w:sz w:val="18"/>
              </w:rPr>
              <w:t>Event family</w:t>
            </w:r>
          </w:p>
        </w:tc>
        <w:tc>
          <w:tcPr>
            <w:tcW w:type="dxa" w:w="7776"/>
            <w:vAlign w:val="center"/>
            <w:shd w:fill="E8EDF2"/>
          </w:tcPr>
          <w:p>
            <w:pPr>
              <w:keepNext/>
              <w:spacing w:after="40" w:line="252" w:lineRule="auto"/>
            </w:pPr>
            <w:r>
              <w:rPr>
                <w:b/>
                <w:sz w:val="18"/>
              </w:rPr>
              <w:t>Examples and display rule</w:t>
            </w:r>
          </w:p>
        </w:tc>
      </w:tr>
      <w:tr>
        <w:trPr>
          <w:cantSplit/>
        </w:trPr>
        <w:tc>
          <w:tcPr>
            <w:tcW w:type="dxa" w:w="2160"/>
            <w:vAlign w:val="center"/>
          </w:tcPr>
          <w:p>
            <w:pPr>
              <w:spacing w:after="40" w:line="252" w:lineRule="auto"/>
            </w:pPr>
            <w:r>
              <w:rPr>
                <w:b w:val="0"/>
                <w:sz w:val="18"/>
              </w:rPr>
              <w:t>Session and turn</w:t>
            </w:r>
          </w:p>
        </w:tc>
        <w:tc>
          <w:tcPr>
            <w:tcW w:type="dxa" w:w="7776"/>
            <w:vAlign w:val="center"/>
          </w:tcPr>
          <w:p>
            <w:pPr>
              <w:spacing w:after="40" w:line="252" w:lineRule="auto"/>
            </w:pPr>
            <w:r>
              <w:rPr>
                <w:b w:val="0"/>
                <w:sz w:val="18"/>
              </w:rPr>
              <w:t>Started, idle, failed, stopped, resumed; preserve native lifecycle meaning and run boundaries.</w:t>
            </w:r>
          </w:p>
        </w:tc>
      </w:tr>
      <w:tr>
        <w:trPr>
          <w:cantSplit/>
        </w:trPr>
        <w:tc>
          <w:tcPr>
            <w:tcW w:type="dxa" w:w="2160"/>
            <w:vAlign w:val="center"/>
          </w:tcPr>
          <w:p>
            <w:pPr>
              <w:spacing w:after="40" w:line="252" w:lineRule="auto"/>
            </w:pPr>
            <w:r>
              <w:rPr>
                <w:b w:val="0"/>
                <w:sz w:val="18"/>
              </w:rPr>
              <w:t>Message</w:t>
            </w:r>
          </w:p>
        </w:tc>
        <w:tc>
          <w:tcPr>
            <w:tcW w:type="dxa" w:w="7776"/>
            <w:vAlign w:val="center"/>
          </w:tcPr>
          <w:p>
            <w:pPr>
              <w:spacing w:after="40" w:line="252" w:lineRule="auto"/>
            </w:pPr>
            <w:r>
              <w:rPr>
                <w:b w:val="0"/>
                <w:sz w:val="18"/>
              </w:rPr>
              <w:t>User input, assistant delta, completed message; link deltas to a stable message ID.</w:t>
            </w:r>
          </w:p>
        </w:tc>
      </w:tr>
      <w:tr>
        <w:trPr>
          <w:cantSplit/>
        </w:trPr>
        <w:tc>
          <w:tcPr>
            <w:tcW w:type="dxa" w:w="2160"/>
            <w:vAlign w:val="center"/>
          </w:tcPr>
          <w:p>
            <w:pPr>
              <w:spacing w:after="40" w:line="252" w:lineRule="auto"/>
            </w:pPr>
            <w:r>
              <w:rPr>
                <w:b w:val="0"/>
                <w:sz w:val="18"/>
              </w:rPr>
              <w:t>Tool and command</w:t>
            </w:r>
          </w:p>
        </w:tc>
        <w:tc>
          <w:tcPr>
            <w:tcW w:type="dxa" w:w="7776"/>
            <w:vAlign w:val="center"/>
          </w:tcPr>
          <w:p>
            <w:pPr>
              <w:spacing w:after="40" w:line="252" w:lineRule="auto"/>
            </w:pPr>
            <w:r>
              <w:rPr>
                <w:b w:val="0"/>
                <w:sz w:val="18"/>
              </w:rPr>
              <w:t>Started, output, result, error; correlate invocation ID. Starting a test command is not a passing test.</w:t>
            </w:r>
          </w:p>
        </w:tc>
      </w:tr>
      <w:tr>
        <w:trPr>
          <w:cantSplit/>
        </w:trPr>
        <w:tc>
          <w:tcPr>
            <w:tcW w:type="dxa" w:w="2160"/>
            <w:vAlign w:val="center"/>
          </w:tcPr>
          <w:p>
            <w:pPr>
              <w:spacing w:after="40" w:line="252" w:lineRule="auto"/>
            </w:pPr>
            <w:r>
              <w:rPr>
                <w:b w:val="0"/>
                <w:sz w:val="18"/>
              </w:rPr>
              <w:t>File activity</w:t>
            </w:r>
          </w:p>
        </w:tc>
        <w:tc>
          <w:tcPr>
            <w:tcW w:type="dxa" w:w="7776"/>
            <w:vAlign w:val="center"/>
          </w:tcPr>
          <w:p>
            <w:pPr>
              <w:spacing w:after="40" w:line="252" w:lineRule="auto"/>
            </w:pPr>
            <w:r>
              <w:rPr>
                <w:b w:val="0"/>
                <w:sz w:val="18"/>
              </w:rPr>
              <w:t>Read/write/change when available; carry source attribution and avoid invented component completion.</w:t>
            </w:r>
          </w:p>
        </w:tc>
      </w:tr>
      <w:tr>
        <w:trPr>
          <w:cantSplit/>
        </w:trPr>
        <w:tc>
          <w:tcPr>
            <w:tcW w:type="dxa" w:w="2160"/>
            <w:vAlign w:val="center"/>
          </w:tcPr>
          <w:p>
            <w:pPr>
              <w:spacing w:after="40" w:line="252" w:lineRule="auto"/>
            </w:pPr>
            <w:r>
              <w:rPr>
                <w:b w:val="0"/>
                <w:sz w:val="18"/>
              </w:rPr>
              <w:t>Attention and control</w:t>
            </w:r>
          </w:p>
        </w:tc>
        <w:tc>
          <w:tcPr>
            <w:tcW w:type="dxa" w:w="7776"/>
            <w:vAlign w:val="center"/>
          </w:tcPr>
          <w:p>
            <w:pPr>
              <w:spacing w:after="40" w:line="252" w:lineRule="auto"/>
            </w:pPr>
            <w:r>
              <w:rPr>
                <w:b w:val="0"/>
                <w:sz w:val="18"/>
              </w:rPr>
              <w:t>Question, approval, expiry, submitted action, acknowledgement, rejection, unknown outcome.</w:t>
            </w:r>
          </w:p>
        </w:tc>
      </w:tr>
      <w:tr>
        <w:trPr>
          <w:cantSplit/>
        </w:trPr>
        <w:tc>
          <w:tcPr>
            <w:tcW w:type="dxa" w:w="2160"/>
            <w:vAlign w:val="center"/>
          </w:tcPr>
          <w:p>
            <w:pPr>
              <w:spacing w:after="40" w:line="252" w:lineRule="auto"/>
            </w:pPr>
            <w:r>
              <w:rPr>
                <w:b w:val="0"/>
                <w:sz w:val="18"/>
              </w:rPr>
              <w:t>Finding and transfer</w:t>
            </w:r>
          </w:p>
        </w:tc>
        <w:tc>
          <w:tcPr>
            <w:tcW w:type="dxa" w:w="7776"/>
            <w:vAlign w:val="center"/>
          </w:tcPr>
          <w:p>
            <w:pPr>
              <w:spacing w:after="40" w:line="252" w:lineRule="auto"/>
            </w:pPr>
            <w:r>
              <w:rPr>
                <w:b w:val="0"/>
                <w:sz w:val="18"/>
              </w:rPr>
              <w:t>Published finding, prepared packet, confirmed delivery, resulting artifact; keep provenance links.</w:t>
            </w:r>
          </w:p>
        </w:tc>
      </w:tr>
      <w:tr>
        <w:trPr>
          <w:cantSplit/>
        </w:trPr>
        <w:tc>
          <w:tcPr>
            <w:tcW w:type="dxa" w:w="2160"/>
            <w:vAlign w:val="center"/>
          </w:tcPr>
          <w:p>
            <w:pPr>
              <w:spacing w:after="40" w:line="252" w:lineRule="auto"/>
            </w:pPr>
            <w:r>
              <w:rPr>
                <w:b w:val="0"/>
                <w:sz w:val="18"/>
              </w:rPr>
              <w:t>Connection and gap</w:t>
            </w:r>
          </w:p>
        </w:tc>
        <w:tc>
          <w:tcPr>
            <w:tcW w:type="dxa" w:w="7776"/>
            <w:vAlign w:val="center"/>
          </w:tcPr>
          <w:p>
            <w:pPr>
              <w:spacing w:after="40" w:line="252" w:lineRule="auto"/>
            </w:pPr>
            <w:r>
              <w:rPr>
                <w:b w:val="0"/>
                <w:sz w:val="18"/>
              </w:rPr>
              <w:t>Connected, stale, reconnecting, recovered, missing coverage; do not hide gaps in history.</w:t>
            </w:r>
          </w:p>
        </w:tc>
      </w:tr>
    </w:tbl>
    <w:p>
      <w:pPr>
        <w:widowControl/>
        <w:spacing w:after="40" w:line="40" w:lineRule="exact" w:before="0"/>
      </w:pPr>
    </w:p>
    <w:p>
      <w:pPr>
        <w:pStyle w:val="Heading2"/>
        <w:widowControl/>
      </w:pPr>
      <w:r>
        <w:t>Ingestion guarantees</w:t>
      </w:r>
    </w:p>
    <w:p>
      <w:pPr>
        <w:widowControl/>
      </w:pPr>
      <w:r>
        <w:t>TR-031  Preserve order within a source using native sequence or parser offsets. Global cursor order represents database commit order, not a universal chronology across agents. Keep both source and ingestion times visible where useful. Clock skew must not reorder tool start/result pairs.</w:t>
      </w:r>
    </w:p>
    <w:p>
      <w:pPr>
        <w:widowControl/>
      </w:pPr>
      <w:r>
        <w:t>TR-032  Deduplicate by native event identity when available. Otherwise derive identity from source generation and byte range, with a hash for integrity; content hash alone must not collapse two legitimate identical messages. Correlate live and historical copies only when native identity proves equivalence. Mark unresolved duplicate candidates.</w:t>
      </w:r>
    </w:p>
    <w:p>
      <w:pPr>
        <w:widowControl/>
      </w:pPr>
      <w:r>
        <w:t xml:space="preserve">TR-033  Track inode/file identity, generation, byte offset, and incomplete tail. Buffer incomplete JSONL records; on rotation or truncation create a new generation and reconcile without losing prior history. Quarantine malformed records with safe diagnostics: for a complete malformed record, commit the quarantine marker and checkpoint advance in one transaction; keep an incomplete tail pending until it completes. Never advance a checkpoint beyond uncommitted accepted records.</w:t>
      </w:r>
    </w:p>
    <w:p>
      <w:pPr>
        <w:pStyle w:val="Heading2"/>
        <w:widowControl/>
      </w:pPr>
      <w:r>
        <w:t>Snapshot and stream protocol</w:t>
      </w:r>
    </w:p>
    <w:p>
      <w:pPr>
        <w:widowControl/>
      </w:pPr>
      <w:r>
        <w:t>TR-034  Read the initial dashboard snapshot and watermark in one consistent transaction, then subscribe to SSE after that watermark. SSE IDs use durable global cursors; reconnect uses Last-Event-ID or an explicit after cursor. Stream updates only after commit. A client deduplicates by event ID and upserts projections.</w:t>
      </w:r>
    </w:p>
    <w:p>
      <w:pPr>
        <w:widowControl/>
      </w:pPr>
      <w:r>
        <w:t>TR-035  If retention invalidates a cursor, return resync_required and obtain a new snapshot. Heartbeats prove the Robin connection is alive; they do not prove a harness is working. Bound client buffers and reconnect slow clients rather than dropping committed history silently.</w:t>
      </w:r>
    </w:p>
    <w:p>
      <w:pPr>
        <w:pStyle w:val="Heading1"/>
        <w:pageBreakBefore/>
        <w:widowControl/>
      </w:pPr>
      <w:r>
        <w:t>Session state and control semantics</w:t>
      </w:r>
    </w:p>
    <w:p>
      <w:pPr>
        <w:widowControl/>
      </w:pPr>
      <w:r>
        <w:t>TR-040  Model runtime state, connection state, pending attention, and task status separately. Runtime state may be running, waiting for input, idle, failed, stopped, or unknown. Connection state may be connected, reconnecting, stale, or disconnected. Pending attention may exist while work continues. A task becomes complete only through an explicit task decision with recorded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664"/>
        <w:gridCol w:w="7272"/>
      </w:tblGrid>
      <w:tr>
        <w:trPr>
          <w:cantSplit/>
          <w:tblHeader/>
        </w:trPr>
        <w:tc>
          <w:tcPr>
            <w:tcW w:type="dxa" w:w="2664"/>
            <w:vAlign w:val="center"/>
            <w:shd w:fill="E8EDF2"/>
          </w:tcPr>
          <w:p>
            <w:pPr>
              <w:keepNext/>
              <w:spacing w:after="40" w:line="252" w:lineRule="auto"/>
            </w:pPr>
            <w:r>
              <w:rPr>
                <w:b/>
                <w:sz w:val="18"/>
              </w:rPr>
              <w:t>Signal</w:t>
            </w:r>
          </w:p>
        </w:tc>
        <w:tc>
          <w:tcPr>
            <w:tcW w:type="dxa" w:w="7272"/>
            <w:vAlign w:val="center"/>
            <w:shd w:fill="E8EDF2"/>
          </w:tcPr>
          <w:p>
            <w:pPr>
              <w:keepNext/>
              <w:spacing w:after="40" w:line="252" w:lineRule="auto"/>
            </w:pPr>
            <w:r>
              <w:rPr>
                <w:b/>
                <w:sz w:val="18"/>
              </w:rPr>
              <w:t>Required transition or action</w:t>
            </w:r>
          </w:p>
        </w:tc>
      </w:tr>
      <w:tr>
        <w:trPr>
          <w:cantSplit/>
        </w:trPr>
        <w:tc>
          <w:tcPr>
            <w:tcW w:type="dxa" w:w="2664"/>
            <w:vAlign w:val="center"/>
          </w:tcPr>
          <w:p>
            <w:pPr>
              <w:spacing w:after="40" w:line="252" w:lineRule="auto"/>
            </w:pPr>
            <w:r>
              <w:rPr>
                <w:b w:val="0"/>
                <w:sz w:val="18"/>
              </w:rPr>
              <w:t>Turn start or current-state report</w:t>
            </w:r>
          </w:p>
        </w:tc>
        <w:tc>
          <w:tcPr>
            <w:tcW w:type="dxa" w:w="7272"/>
            <w:vAlign w:val="center"/>
          </w:tcPr>
          <w:p>
            <w:pPr>
              <w:spacing w:after="40" w:line="252" w:lineRule="auto"/>
            </w:pPr>
            <w:r>
              <w:rPr>
                <w:b w:val="0"/>
                <w:sz w:val="18"/>
              </w:rPr>
              <w:t>Set running with evidence time and run identity. A process being alive alone proves only liveness.</w:t>
            </w:r>
          </w:p>
        </w:tc>
      </w:tr>
      <w:tr>
        <w:trPr>
          <w:cantSplit/>
        </w:trPr>
        <w:tc>
          <w:tcPr>
            <w:tcW w:type="dxa" w:w="2664"/>
            <w:vAlign w:val="center"/>
          </w:tcPr>
          <w:p>
            <w:pPr>
              <w:spacing w:after="40" w:line="252" w:lineRule="auto"/>
            </w:pPr>
            <w:r>
              <w:rPr>
                <w:b w:val="0"/>
                <w:sz w:val="18"/>
              </w:rPr>
              <w:t>Blocking native request</w:t>
            </w:r>
          </w:p>
        </w:tc>
        <w:tc>
          <w:tcPr>
            <w:tcW w:type="dxa" w:w="7272"/>
            <w:vAlign w:val="center"/>
          </w:tcPr>
          <w:p>
            <w:pPr>
              <w:spacing w:after="40" w:line="252" w:lineRule="auto"/>
            </w:pPr>
            <w:r>
              <w:rPr>
                <w:b w:val="0"/>
                <w:sz w:val="18"/>
              </w:rPr>
              <w:t>Set waiting for input only when the runtime confirms the request blocks work; otherwise retain state plus attention.</w:t>
            </w:r>
          </w:p>
        </w:tc>
      </w:tr>
      <w:tr>
        <w:trPr>
          <w:cantSplit/>
        </w:trPr>
        <w:tc>
          <w:tcPr>
            <w:tcW w:type="dxa" w:w="2664"/>
            <w:vAlign w:val="center"/>
          </w:tcPr>
          <w:p>
            <w:pPr>
              <w:spacing w:after="40" w:line="252" w:lineRule="auto"/>
            </w:pPr>
            <w:r>
              <w:rPr>
                <w:b w:val="0"/>
                <w:sz w:val="18"/>
              </w:rPr>
              <w:t>Turn end or interrupt acknowledgement</w:t>
            </w:r>
          </w:p>
        </w:tc>
        <w:tc>
          <w:tcPr>
            <w:tcW w:type="dxa" w:w="7272"/>
            <w:vAlign w:val="center"/>
          </w:tcPr>
          <w:p>
            <w:pPr>
              <w:spacing w:after="40" w:line="252" w:lineRule="auto"/>
            </w:pPr>
            <w:r>
              <w:rPr>
                <w:b w:val="0"/>
                <w:sz w:val="18"/>
              </w:rPr>
              <w:t>Set idle or stopped according to the native signal; record run outcome without marking the task successful.</w:t>
            </w:r>
          </w:p>
        </w:tc>
      </w:tr>
      <w:tr>
        <w:trPr>
          <w:cantSplit/>
        </w:trPr>
        <w:tc>
          <w:tcPr>
            <w:tcW w:type="dxa" w:w="2664"/>
            <w:vAlign w:val="center"/>
          </w:tcPr>
          <w:p>
            <w:pPr>
              <w:spacing w:after="40" w:line="252" w:lineRule="auto"/>
            </w:pPr>
            <w:r>
              <w:rPr>
                <w:b w:val="0"/>
                <w:sz w:val="18"/>
              </w:rPr>
              <w:t>Transport loss</w:t>
            </w:r>
          </w:p>
        </w:tc>
        <w:tc>
          <w:tcPr>
            <w:tcW w:type="dxa" w:w="7272"/>
            <w:vAlign w:val="center"/>
          </w:tcPr>
          <w:p>
            <w:pPr>
              <w:spacing w:after="40" w:line="252" w:lineRule="auto"/>
            </w:pPr>
            <w:r>
              <w:rPr>
                <w:b w:val="0"/>
                <w:sz w:val="18"/>
              </w:rPr>
              <w:t>Mark connection stale or disconnected; invalidate actionable state until reconciled. Do not invent a successful finish.</w:t>
            </w:r>
          </w:p>
        </w:tc>
      </w:tr>
      <w:tr>
        <w:trPr>
          <w:cantSplit/>
        </w:trPr>
        <w:tc>
          <w:tcPr>
            <w:tcW w:type="dxa" w:w="2664"/>
            <w:vAlign w:val="center"/>
          </w:tcPr>
          <w:p>
            <w:pPr>
              <w:spacing w:after="40" w:line="252" w:lineRule="auto"/>
            </w:pPr>
            <w:r>
              <w:rPr>
                <w:b w:val="0"/>
                <w:sz w:val="18"/>
              </w:rPr>
              <w:t>Runtime failure or process exit</w:t>
            </w:r>
          </w:p>
        </w:tc>
        <w:tc>
          <w:tcPr>
            <w:tcW w:type="dxa" w:w="7272"/>
            <w:vAlign w:val="center"/>
          </w:tcPr>
          <w:p>
            <w:pPr>
              <w:spacing w:after="40" w:line="252" w:lineRule="auto"/>
            </w:pPr>
            <w:r>
              <w:rPr>
                <w:b w:val="0"/>
                <w:sz w:val="18"/>
              </w:rPr>
              <w:t>Record failure or stopped with reason and exit evidence. Agent-reported completion remains separately attributed.</w:t>
            </w:r>
          </w:p>
        </w:tc>
      </w:tr>
    </w:tbl>
    <w:p>
      <w:pPr>
        <w:widowControl/>
        <w:spacing w:after="40" w:line="40" w:lineRule="exact" w:before="0"/>
      </w:pPr>
    </w:p>
    <w:p>
      <w:pPr>
        <w:pStyle w:val="Heading2"/>
        <w:widowControl/>
      </w:pPr>
      <w:r>
        <w:t>Action ledger and concurrency</w:t>
      </w:r>
    </w:p>
    <w:p>
      <w:pPr>
        <w:widowControl/>
      </w:pPr>
      <w:r>
        <w:t>TR-041  Persist an action before invoking the adapter. Proposed states are requested, submitted, acknowledged, failed, cancelled, and outcome_unknown. An acknowledgement means acceptance of that action, not completion of coding work. An HTTP response lost after submission requires querying the existing action, not creating a new prompt.</w:t>
      </w:r>
    </w:p>
    <w:p>
      <w:pPr>
        <w:widowControl/>
      </w:pPr>
      <w:r>
        <w:t xml:space="preserve">TR-042  Clients generate a unique action_id and reuse it only for the same request. The service returns the stored outcome for identical repeats and rejects an ID reused with a different payload. Serialize mutating controls per session, revalidate capability and connection generation immediately before dispatch, and reject stale preconditions. When two clients submit conflicting controls, the first committed action wins and the other receives 409 with the current state. Local deduplication cannot guarantee exactly-once execution inside an external runtime.</w:t>
      </w:r>
    </w:p>
    <w:p>
      <w:pPr>
        <w:widowControl/>
      </w:pPr>
      <w:r>
        <w:t>TR-043  If the service crashes between external submission and recorded acknowledgement, mark outcome_unknown and reconcile supported native correlation IDs. Do not automatically resend. The user may retry only after inspecting delivery state; a deliberate new request is a new action and warns of possible duplication.</w:t>
      </w:r>
    </w:p>
    <w:p>
      <w:pPr>
        <w:pStyle w:val="Heading2"/>
        <w:widowControl/>
      </w:pPr>
      <w:r>
        <w:t>Interrupt and approval behavior</w:t>
      </w:r>
    </w:p>
    <w:p>
      <w:pPr>
        <w:widowControl/>
      </w:pPr>
      <w:r>
        <w:t xml:space="preserve">TR-044  Interrupt remains pending until confirmed. Forced termination is a separate named destructive action that identifies owned processes and possible loss. On service restart reconnect to the session supervisor (TR-006) and verify process identity using more than PID. If the supervisor or a transport is gone, report the session disconnected and offer native resume without automatic launch.</w:t>
      </w:r>
    </w:p>
    <w:p>
      <w:pPr>
        <w:widowControl/>
      </w:pPr>
      <w:r>
        <w:t xml:space="preserve">TR-045  Approval responses require native request ID, session, request generation, allowed decision, and current pending state. Atomically claim the request, dispatch once, and record outcome. A request expires when the runtime reports expiry or, where it has none, when its run ends, is interrupted, or its connection generation changes. Expired or already resolved requests reject further replies. Dismissal affects the notice only and never sends approval.</w:t>
      </w:r>
    </w:p>
    <w:p>
      <w:pPr>
        <w:widowControl/>
      </w:pPr>
      <w:r>
        <w:t xml:space="preserve">TR-046  One owner controls a session at a time through a control lease. Adapters declare terminal mode: attach joins the same process, handoff releases Robin's lease, and unavailable blocks terminal access while a managed run is active. During handoff Robin disables controls and marks its pending attention items handed_off; it resumes control only after the user returns it and reconciliation succeeds.</w:t>
      </w:r>
    </w:p>
    <w:p>
      <w:pPr>
        <w:pStyle w:val="Heading1"/>
        <w:pageBreakBefore/>
        <w:widowControl/>
      </w:pPr>
      <w:r>
        <w:t>HTTP API and browser authentication</w:t>
      </w:r>
    </w:p>
    <w:p>
      <w:pPr>
        <w:widowControl/>
      </w:pPr>
      <w:r>
        <w:t>TR-050  Proposed prefix is /api/v1. Validate typed bodies; errors include code, safe message, correlation ID, and retry guidance. Use bounded keyset pagination and return revisions or action records for mutations. Resolve paths on the execution host.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3312"/>
        <w:gridCol w:w="6624"/>
      </w:tblGrid>
      <w:tr>
        <w:trPr>
          <w:cantSplit/>
          <w:tblHeader/>
        </w:trPr>
        <w:tc>
          <w:tcPr>
            <w:tcW w:type="dxa" w:w="3312"/>
            <w:vAlign w:val="center"/>
            <w:shd w:fill="E8EDF2"/>
          </w:tcPr>
          <w:p>
            <w:pPr>
              <w:keepNext/>
              <w:spacing w:after="40" w:line="252" w:lineRule="auto"/>
            </w:pPr>
            <w:r>
              <w:rPr>
                <w:b/>
                <w:sz w:val="18"/>
              </w:rPr>
              <w:t>Endpoint group</w:t>
            </w:r>
          </w:p>
        </w:tc>
        <w:tc>
          <w:tcPr>
            <w:tcW w:type="dxa" w:w="6624"/>
            <w:vAlign w:val="center"/>
            <w:shd w:fill="E8EDF2"/>
          </w:tcPr>
          <w:p>
            <w:pPr>
              <w:keepNext/>
              <w:spacing w:after="40" w:line="252" w:lineRule="auto"/>
            </w:pPr>
            <w:r>
              <w:rPr>
                <w:b/>
                <w:sz w:val="18"/>
              </w:rPr>
              <w:t>Contract</w:t>
            </w:r>
          </w:p>
        </w:tc>
      </w:tr>
      <w:tr>
        <w:trPr>
          <w:cantSplit/>
        </w:trPr>
        <w:tc>
          <w:tcPr>
            <w:tcW w:type="dxa" w:w="3312"/>
            <w:vAlign w:val="center"/>
          </w:tcPr>
          <w:p>
            <w:pPr>
              <w:spacing w:after="40" w:line="252" w:lineRule="auto"/>
            </w:pPr>
            <w:r>
              <w:rPr>
                <w:b w:val="0"/>
                <w:sz w:val="18"/>
              </w:rPr>
              <w:t>GET /workspace and /adapters</w:t>
            </w:r>
          </w:p>
        </w:tc>
        <w:tc>
          <w:tcPr>
            <w:tcW w:type="dxa" w:w="6624"/>
            <w:vAlign w:val="center"/>
          </w:tcPr>
          <w:p>
            <w:pPr>
              <w:spacing w:after="40" w:line="252" w:lineRule="auto"/>
            </w:pPr>
            <w:r>
              <w:rPr>
                <w:b w:val="0"/>
                <w:sz w:val="18"/>
              </w:rPr>
              <w:t>Consistent dashboard snapshot and watermark; installed runtime capability reports.</w:t>
            </w:r>
          </w:p>
        </w:tc>
      </w:tr>
      <w:tr>
        <w:trPr>
          <w:cantSplit/>
        </w:trPr>
        <w:tc>
          <w:tcPr>
            <w:tcW w:type="dxa" w:w="3312"/>
            <w:vAlign w:val="center"/>
          </w:tcPr>
          <w:p>
            <w:pPr>
              <w:spacing w:after="40" w:line="252" w:lineRule="auto"/>
            </w:pPr>
            <w:r>
              <w:rPr>
                <w:b w:val="0"/>
                <w:sz w:val="18"/>
              </w:rPr>
              <w:t>POST /projects; /tasks</w:t>
            </w:r>
          </w:p>
        </w:tc>
        <w:tc>
          <w:tcPr>
            <w:tcW w:type="dxa" w:w="6624"/>
            <w:vAlign w:val="center"/>
          </w:tcPr>
          <w:p>
            <w:pPr>
              <w:spacing w:after="40" w:line="252" w:lineRule="auto"/>
            </w:pPr>
            <w:r>
              <w:rPr>
                <w:b w:val="0"/>
                <w:sz w:val="18"/>
              </w:rPr>
              <w:t>Register a validated directory; create task objective and associations. PATCH uses expected revision.</w:t>
            </w:r>
          </w:p>
        </w:tc>
      </w:tr>
      <w:tr>
        <w:trPr>
          <w:cantSplit/>
        </w:trPr>
        <w:tc>
          <w:tcPr>
            <w:tcW w:type="dxa" w:w="3312"/>
            <w:vAlign w:val="center"/>
          </w:tcPr>
          <w:p>
            <w:pPr>
              <w:spacing w:after="40" w:line="252" w:lineRule="auto"/>
            </w:pPr>
            <w:r>
              <w:rPr>
                <w:b w:val="0"/>
                <w:sz w:val="18"/>
              </w:rPr>
              <w:t>GET /sessions; /sessions/{id}</w:t>
            </w:r>
          </w:p>
        </w:tc>
        <w:tc>
          <w:tcPr>
            <w:tcW w:type="dxa" w:w="6624"/>
            <w:vAlign w:val="center"/>
          </w:tcPr>
          <w:p>
            <w:pPr>
              <w:spacing w:after="40" w:line="252" w:lineRule="auto"/>
            </w:pPr>
            <w:r>
              <w:rPr>
                <w:b w:val="0"/>
                <w:sz w:val="18"/>
              </w:rPr>
              <w:t>Filter by project/task/runtime/state; return native identity, mode, evidence, freshness, controls.</w:t>
            </w:r>
          </w:p>
        </w:tc>
      </w:tr>
      <w:tr>
        <w:trPr>
          <w:cantSplit/>
        </w:trPr>
        <w:tc>
          <w:tcPr>
            <w:tcW w:type="dxa" w:w="3312"/>
            <w:vAlign w:val="center"/>
          </w:tcPr>
          <w:p>
            <w:pPr>
              <w:spacing w:after="40" w:line="252" w:lineRule="auto"/>
            </w:pPr>
            <w:r>
              <w:rPr>
                <w:b w:val="0"/>
                <w:sz w:val="18"/>
              </w:rPr>
              <w:t>POST /sessions/launch</w:t>
            </w:r>
          </w:p>
        </w:tc>
        <w:tc>
          <w:tcPr>
            <w:tcW w:type="dxa" w:w="6624"/>
            <w:vAlign w:val="center"/>
          </w:tcPr>
          <w:p>
            <w:pPr>
              <w:spacing w:after="40" w:line="252" w:lineRule="auto"/>
            </w:pPr>
            <w:r>
              <w:rPr>
                <w:b w:val="0"/>
                <w:sz w:val="18"/>
              </w:rPr>
              <w:t>Task, adapter, approved prompt reference, working directory, optional worktree, and action_id.</w:t>
            </w:r>
          </w:p>
        </w:tc>
      </w:tr>
      <w:tr>
        <w:trPr>
          <w:cantSplit/>
        </w:trPr>
        <w:tc>
          <w:tcPr>
            <w:tcW w:type="dxa" w:w="3312"/>
            <w:vAlign w:val="center"/>
          </w:tcPr>
          <w:p>
            <w:pPr>
              <w:spacing w:after="40" w:line="252" w:lineRule="auto"/>
            </w:pPr>
            <w:r>
              <w:rPr>
                <w:b w:val="0"/>
                <w:sz w:val="18"/>
              </w:rPr>
              <w:t>POST /sessions/{id}/actions</w:t>
            </w:r>
          </w:p>
        </w:tc>
        <w:tc>
          <w:tcPr>
            <w:tcW w:type="dxa" w:w="6624"/>
            <w:vAlign w:val="center"/>
          </w:tcPr>
          <w:p>
            <w:pPr>
              <w:spacing w:after="40" w:line="252" w:lineRule="auto"/>
            </w:pPr>
            <w:r>
              <w:rPr>
                <w:b w:val="0"/>
                <w:sz w:val="18"/>
              </w:rPr>
              <w:t>Typed resume/message/interrupt/native-open action, capability preconditions and action_id.</w:t>
            </w:r>
          </w:p>
        </w:tc>
      </w:tr>
      <w:tr>
        <w:trPr>
          <w:cantSplit/>
        </w:trPr>
        <w:tc>
          <w:tcPr>
            <w:tcW w:type="dxa" w:w="3312"/>
            <w:vAlign w:val="center"/>
          </w:tcPr>
          <w:p>
            <w:pPr>
              <w:spacing w:after="40" w:line="252" w:lineRule="auto"/>
            </w:pPr>
            <w:r>
              <w:rPr>
                <w:b w:val="0"/>
                <w:sz w:val="18"/>
              </w:rPr>
              <w:t>GET /actions/{action_id}</w:t>
            </w:r>
          </w:p>
        </w:tc>
        <w:tc>
          <w:tcPr>
            <w:tcW w:type="dxa" w:w="6624"/>
            <w:vAlign w:val="center"/>
          </w:tcPr>
          <w:p>
            <w:pPr>
              <w:spacing w:after="40" w:line="252" w:lineRule="auto"/>
            </w:pPr>
            <w:r>
              <w:rPr>
                <w:b w:val="0"/>
                <w:sz w:val="18"/>
              </w:rPr>
              <w:t>Return durable state and acknowledgement; no automatic mutation during polling.</w:t>
            </w:r>
          </w:p>
        </w:tc>
      </w:tr>
      <w:tr>
        <w:trPr>
          <w:cantSplit/>
        </w:trPr>
        <w:tc>
          <w:tcPr>
            <w:tcW w:type="dxa" w:w="3312"/>
            <w:vAlign w:val="center"/>
          </w:tcPr>
          <w:p>
            <w:pPr>
              <w:spacing w:after="40" w:line="252" w:lineRule="auto"/>
            </w:pPr>
            <w:r>
              <w:rPr>
                <w:b w:val="0"/>
                <w:sz w:val="18"/>
              </w:rPr>
              <w:t>POST /attention/{id}/responses</w:t>
            </w:r>
          </w:p>
        </w:tc>
        <w:tc>
          <w:tcPr>
            <w:tcW w:type="dxa" w:w="6624"/>
            <w:vAlign w:val="center"/>
          </w:tcPr>
          <w:p>
            <w:pPr>
              <w:spacing w:after="40" w:line="252" w:lineRule="auto"/>
            </w:pPr>
            <w:r>
              <w:rPr>
                <w:b w:val="0"/>
                <w:sz w:val="18"/>
              </w:rPr>
              <w:t>Explicit answer or allowed approval decision, native request generation, and action_id.</w:t>
            </w:r>
          </w:p>
        </w:tc>
      </w:tr>
      <w:tr>
        <w:trPr>
          <w:cantSplit/>
        </w:trPr>
        <w:tc>
          <w:tcPr>
            <w:tcW w:type="dxa" w:w="3312"/>
            <w:vAlign w:val="center"/>
          </w:tcPr>
          <w:p>
            <w:pPr>
              <w:spacing w:after="40" w:line="252" w:lineRule="auto"/>
            </w:pPr>
            <w:r>
              <w:rPr>
                <w:b w:val="0"/>
                <w:sz w:val="18"/>
              </w:rPr>
              <w:t>GET /events and /stream</w:t>
            </w:r>
          </w:p>
        </w:tc>
        <w:tc>
          <w:tcPr>
            <w:tcW w:type="dxa" w:w="6624"/>
            <w:vAlign w:val="center"/>
          </w:tcPr>
          <w:p>
            <w:pPr>
              <w:spacing w:after="40" w:line="252" w:lineRule="auto"/>
            </w:pPr>
            <w:r>
              <w:rPr>
                <w:b w:val="0"/>
                <w:sz w:val="18"/>
              </w:rPr>
              <w:t>Paginated durable history; SSE after cursor with authenticated access and gap handling.</w:t>
            </w:r>
          </w:p>
        </w:tc>
      </w:tr>
      <w:tr>
        <w:trPr>
          <w:cantSplit/>
        </w:trPr>
        <w:tc>
          <w:tcPr>
            <w:tcW w:type="dxa" w:w="3312"/>
            <w:vAlign w:val="center"/>
          </w:tcPr>
          <w:p>
            <w:pPr>
              <w:spacing w:after="40" w:line="252" w:lineRule="auto"/>
            </w:pPr>
            <w:r>
              <w:rPr>
                <w:b w:val="0"/>
                <w:sz w:val="18"/>
              </w:rPr>
              <w:t>POST /findings; /context/previews</w:t>
            </w:r>
          </w:p>
        </w:tc>
        <w:tc>
          <w:tcPr>
            <w:tcW w:type="dxa" w:w="6624"/>
            <w:vAlign w:val="center"/>
          </w:tcPr>
          <w:p>
            <w:pPr>
              <w:spacing w:after="40" w:line="252" w:lineRule="auto"/>
            </w:pPr>
            <w:r>
              <w:rPr>
                <w:b w:val="0"/>
                <w:sz w:val="18"/>
              </w:rPr>
              <w:t>Validate finding version; create bounded packet preview with hashes and source versions.</w:t>
            </w:r>
          </w:p>
        </w:tc>
      </w:tr>
      <w:tr>
        <w:trPr>
          <w:cantSplit/>
        </w:trPr>
        <w:tc>
          <w:tcPr>
            <w:tcW w:type="dxa" w:w="3312"/>
            <w:vAlign w:val="center"/>
          </w:tcPr>
          <w:p>
            <w:pPr>
              <w:spacing w:after="40" w:line="252" w:lineRule="auto"/>
            </w:pPr>
            <w:r>
              <w:rPr>
                <w:b w:val="0"/>
                <w:sz w:val="18"/>
              </w:rPr>
              <w:t>POST /context/{id}/deliver</w:t>
            </w:r>
          </w:p>
        </w:tc>
        <w:tc>
          <w:tcPr>
            <w:tcW w:type="dxa" w:w="6624"/>
            <w:vAlign w:val="center"/>
          </w:tcPr>
          <w:p>
            <w:pPr>
              <w:spacing w:after="40" w:line="252" w:lineRule="auto"/>
            </w:pPr>
            <w:r>
              <w:rPr>
                <w:b w:val="0"/>
                <w:sz w:val="18"/>
              </w:rPr>
              <w:t>Approve exact preview hash and target; atomically persist manifest plus delivery action.</w:t>
            </w:r>
          </w:p>
        </w:tc>
      </w:tr>
      <w:tr>
        <w:trPr>
          <w:cantSplit/>
        </w:trPr>
        <w:tc>
          <w:tcPr>
            <w:tcW w:type="dxa" w:w="3312"/>
            <w:vAlign w:val="center"/>
          </w:tcPr>
          <w:p>
            <w:pPr>
              <w:spacing w:after="40" w:line="252" w:lineRule="auto"/>
            </w:pPr>
            <w:r>
              <w:rPr>
                <w:b w:val="0"/>
                <w:sz w:val="18"/>
              </w:rPr>
              <w:t>GET /search; /artifacts/{id}</w:t>
            </w:r>
          </w:p>
        </w:tc>
        <w:tc>
          <w:tcPr>
            <w:tcW w:type="dxa" w:w="6624"/>
            <w:vAlign w:val="center"/>
          </w:tcPr>
          <w:p>
            <w:pPr>
              <w:spacing w:after="40" w:line="252" w:lineRule="auto"/>
            </w:pPr>
            <w:r>
              <w:rPr>
                <w:b w:val="0"/>
                <w:sz w:val="18"/>
              </w:rPr>
              <w:t>Task-scoped FTS results; safe content/download access through owned IDs, not arbitrary paths.</w:t>
            </w:r>
          </w:p>
        </w:tc>
      </w:tr>
    </w:tbl>
    <w:p>
      <w:pPr>
        <w:widowControl/>
        <w:spacing w:after="40" w:line="40" w:lineRule="exact" w:before="0"/>
      </w:pPr>
    </w:p>
    <w:p>
      <w:pPr>
        <w:pStyle w:val="Heading2"/>
        <w:widowControl/>
      </w:pPr>
      <w:r>
        <w:t>Errors and action responses</w:t>
      </w:r>
    </w:p>
    <w:p>
      <w:pPr>
        <w:widowControl/>
      </w:pPr>
      <w:r>
        <w:t>Use 422 for invalid fields, 401 for missing authentication, 403 for disallowed origin/scope, 404 for missing entities, 409 for stale state or action ID conflicts, and 503 for unavailable adapters. Accepted asynchronous actions return 202 with action_id and state. Reconcile uncertain delivery before retry.</w:t>
      </w:r>
    </w:p>
    <w:p>
      <w:pPr>
        <w:pStyle w:val="Heading2"/>
        <w:widowControl/>
      </w:pPr>
      <w:r>
        <w:t>Local browser session</w:t>
      </w:r>
    </w:p>
    <w:p>
      <w:pPr>
        <w:widowControl/>
      </w:pPr>
      <w:r>
        <w:t xml:space="preserve">TR-051  Bind loopback by default and serve frontend and API from the same origin. Proposed bootstrap is a single-use random secret in a URL fragment exchanged for an HttpOnly session cookie, then removed from the address bar. The secret has at least 128 bits of entropy, expires after 60 seconds, and is invalidated by any exchange attempt, successful or not; rate-limit the exchange endpoint. Do not log that secret. Validate Origin and Host, require a CSRF token on mutations, and deny wildcard CORS. Cookie settings must work for loopback access, including access through SSH port forwarding.</w:t>
      </w:r>
    </w:p>
    <w:p>
      <w:pPr>
        <w:widowControl/>
      </w:pPr>
      <w:r>
        <w:t>TR-052  CLI authentication uses a user-restricted local credential or IPC channel; it receives no bypass of task policies. The MVP adds no remote listener; remote use goes through the user’s SSH port forwarding to the loopback service. Private-network access is a later feature that needs explicit configuration, authenticated transport, and documented TLS. It does not enable multi-host aggregation.</w:t>
      </w:r>
    </w:p>
    <w:p>
      <w:pPr>
        <w:widowControl/>
      </w:pPr>
      <w:r>
        <w:t xml:space="preserve">TR-053  The CLI is a client of the same API and adds no endpoints of its own. Commands map to endpoints as follows.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3312"/>
        <w:gridCol w:w="6624"/>
      </w:tblGrid>
      <w:tr>
        <w:trPr>
          <w:cantSplit/>
          <w:tblHeader/>
        </w:trPr>
        <w:tc>
          <w:tcPr>
            <w:tcW w:type="dxa" w:w="3312"/>
            <w:vAlign w:val="center"/>
            <w:shd w:fill="E8EDF2"/>
          </w:tcPr>
          <w:p>
            <w:pPr>
              <w:keepNext/>
              <w:spacing w:after="40" w:line="252" w:lineRule="auto"/>
            </w:pPr>
            <w:r>
              <w:rPr>
                <w:b/>
                <w:sz w:val="18"/>
              </w:rPr>
              <w:t>CLI command</w:t>
            </w:r>
          </w:p>
        </w:tc>
        <w:tc>
          <w:tcPr>
            <w:tcW w:type="dxa" w:w="6624"/>
            <w:vAlign w:val="center"/>
            <w:shd w:fill="E8EDF2"/>
          </w:tcPr>
          <w:p>
            <w:pPr>
              <w:keepNext/>
              <w:spacing w:after="40" w:line="252" w:lineRule="auto"/>
            </w:pPr>
            <w:r>
              <w:rPr>
                <w:b/>
                <w:sz w:val="18"/>
              </w:rPr>
              <w:t>API contract</w:t>
            </w:r>
          </w:p>
        </w:tc>
      </w:tr>
      <w:tr>
        <w:trPr>
          <w:cantSplit/>
        </w:trPr>
        <w:tc>
          <w:tcPr>
            <w:tcW w:type="dxa" w:w="3312"/>
            <w:vAlign w:val="center"/>
          </w:tcPr>
          <w:p>
            <w:pPr>
              <w:spacing w:after="40" w:line="252" w:lineRule="auto"/>
            </w:pPr>
            <w:r>
              <w:rPr>
                <w:b w:val="0"/>
                <w:sz w:val="18"/>
              </w:rPr>
              <w:t>scan, doctor</w:t>
            </w:r>
          </w:p>
        </w:tc>
        <w:tc>
          <w:tcPr>
            <w:tcW w:type="dxa" w:w="6624"/>
            <w:vAlign w:val="center"/>
          </w:tcPr>
          <w:p>
            <w:pPr>
              <w:spacing w:after="40" w:line="252" w:lineRule="auto"/>
            </w:pPr>
            <w:r>
              <w:rPr>
                <w:b w:val="0"/>
                <w:sz w:val="18"/>
              </w:rPr>
              <w:t>POST /adapters/scan; GET /adapters capability and health reports.</w:t>
            </w:r>
          </w:p>
        </w:tc>
      </w:tr>
      <w:tr>
        <w:trPr>
          <w:cantSplit/>
        </w:trPr>
        <w:tc>
          <w:tcPr>
            <w:tcW w:type="dxa" w:w="3312"/>
            <w:vAlign w:val="center"/>
          </w:tcPr>
          <w:p>
            <w:pPr>
              <w:spacing w:after="40" w:line="252" w:lineRule="auto"/>
            </w:pPr>
            <w:r>
              <w:rPr>
                <w:b w:val="0"/>
                <w:sz w:val="18"/>
              </w:rPr>
              <w:t>task create, task attach</w:t>
            </w:r>
          </w:p>
        </w:tc>
        <w:tc>
          <w:tcPr>
            <w:tcW w:type="dxa" w:w="6624"/>
            <w:vAlign w:val="center"/>
          </w:tcPr>
          <w:p>
            <w:pPr>
              <w:spacing w:after="40" w:line="252" w:lineRule="auto"/>
            </w:pPr>
            <w:r>
              <w:rPr>
                <w:b w:val="0"/>
                <w:sz w:val="18"/>
              </w:rPr>
              <w:t>POST /tasks; PATCH /tasks/{id} associations with expected revision.</w:t>
            </w:r>
          </w:p>
        </w:tc>
      </w:tr>
      <w:tr>
        <w:trPr>
          <w:cantSplit/>
        </w:trPr>
        <w:tc>
          <w:tcPr>
            <w:tcW w:type="dxa" w:w="3312"/>
            <w:vAlign w:val="center"/>
          </w:tcPr>
          <w:p>
            <w:pPr>
              <w:spacing w:after="40" w:line="252" w:lineRule="auto"/>
            </w:pPr>
            <w:r>
              <w:rPr>
                <w:b w:val="0"/>
                <w:sz w:val="18"/>
              </w:rPr>
              <w:t>run, resume, message, interrupt</w:t>
            </w:r>
          </w:p>
        </w:tc>
        <w:tc>
          <w:tcPr>
            <w:tcW w:type="dxa" w:w="6624"/>
            <w:vAlign w:val="center"/>
          </w:tcPr>
          <w:p>
            <w:pPr>
              <w:spacing w:after="40" w:line="252" w:lineRule="auto"/>
            </w:pPr>
            <w:r>
              <w:rPr>
                <w:b w:val="0"/>
                <w:sz w:val="18"/>
              </w:rPr>
              <w:t>POST /sessions/launch; POST /sessions/{id}/actions with a client action_id.</w:t>
            </w:r>
          </w:p>
        </w:tc>
      </w:tr>
      <w:tr>
        <w:trPr>
          <w:cantSplit/>
        </w:trPr>
        <w:tc>
          <w:tcPr>
            <w:tcW w:type="dxa" w:w="3312"/>
            <w:vAlign w:val="center"/>
          </w:tcPr>
          <w:p>
            <w:pPr>
              <w:spacing w:after="40" w:line="252" w:lineRule="auto"/>
            </w:pPr>
            <w:r>
              <w:rPr>
                <w:b w:val="0"/>
                <w:sz w:val="18"/>
              </w:rPr>
              <w:t>open --terminal</w:t>
            </w:r>
          </w:p>
        </w:tc>
        <w:tc>
          <w:tcPr>
            <w:tcW w:type="dxa" w:w="6624"/>
            <w:vAlign w:val="center"/>
          </w:tcPr>
          <w:p>
            <w:pPr>
              <w:spacing w:after="40" w:line="252" w:lineRule="auto"/>
            </w:pPr>
            <w:r>
              <w:rPr>
                <w:b w:val="0"/>
                <w:sz w:val="18"/>
              </w:rPr>
              <w:t>POST /sessions/{id}/actions native-open; acquires or releases the control lease (TR-046).</w:t>
            </w:r>
          </w:p>
        </w:tc>
      </w:tr>
      <w:tr>
        <w:trPr>
          <w:cantSplit/>
        </w:trPr>
        <w:tc>
          <w:tcPr>
            <w:tcW w:type="dxa" w:w="3312"/>
            <w:vAlign w:val="center"/>
          </w:tcPr>
          <w:p>
            <w:pPr>
              <w:spacing w:after="40" w:line="252" w:lineRule="auto"/>
            </w:pPr>
            <w:r>
              <w:rPr>
                <w:b w:val="0"/>
                <w:sz w:val="18"/>
              </w:rPr>
              <w:t>share, context preview</w:t>
            </w:r>
          </w:p>
        </w:tc>
        <w:tc>
          <w:tcPr>
            <w:tcW w:type="dxa" w:w="6624"/>
            <w:vAlign w:val="center"/>
          </w:tcPr>
          <w:p>
            <w:pPr>
              <w:spacing w:after="40" w:line="252" w:lineRule="auto"/>
            </w:pPr>
            <w:r>
              <w:rPr>
                <w:b w:val="0"/>
                <w:sz w:val="18"/>
              </w:rPr>
              <w:t>POST /context/previews; prints preview ID, recipient, sources, size, and hash.</w:t>
            </w:r>
          </w:p>
        </w:tc>
      </w:tr>
      <w:tr>
        <w:trPr>
          <w:cantSplit/>
        </w:trPr>
        <w:tc>
          <w:tcPr>
            <w:tcW w:type="dxa" w:w="3312"/>
            <w:vAlign w:val="center"/>
          </w:tcPr>
          <w:p>
            <w:pPr>
              <w:spacing w:after="40" w:line="252" w:lineRule="auto"/>
            </w:pPr>
            <w:r>
              <w:rPr>
                <w:b w:val="0"/>
                <w:sz w:val="18"/>
              </w:rPr>
              <w:t>context deliver --confirm HASH</w:t>
            </w:r>
          </w:p>
        </w:tc>
        <w:tc>
          <w:tcPr>
            <w:tcW w:type="dxa" w:w="6624"/>
            <w:vAlign w:val="center"/>
          </w:tcPr>
          <w:p>
            <w:pPr>
              <w:spacing w:after="40" w:line="252" w:lineRule="auto"/>
            </w:pPr>
            <w:r>
              <w:rPr>
                <w:b w:val="0"/>
                <w:sz w:val="18"/>
              </w:rPr>
              <w:t>POST /context/{id}/deliver with the approved preview hash.</w:t>
            </w:r>
          </w:p>
        </w:tc>
      </w:tr>
      <w:tr>
        <w:trPr>
          <w:cantSplit/>
        </w:trPr>
        <w:tc>
          <w:tcPr>
            <w:tcW w:type="dxa" w:w="3312"/>
            <w:vAlign w:val="center"/>
          </w:tcPr>
          <w:p>
            <w:pPr>
              <w:spacing w:after="40" w:line="252" w:lineRule="auto"/>
            </w:pPr>
            <w:r>
              <w:rPr>
                <w:b w:val="0"/>
                <w:sz w:val="18"/>
              </w:rPr>
              <w:t>compare, synthesize --findings</w:t>
            </w:r>
          </w:p>
        </w:tc>
        <w:tc>
          <w:tcPr>
            <w:tcW w:type="dxa" w:w="6624"/>
            <w:vAlign w:val="center"/>
          </w:tcPr>
          <w:p>
            <w:pPr>
              <w:spacing w:after="40" w:line="252" w:lineRule="auto"/>
            </w:pPr>
            <w:r>
              <w:rPr>
                <w:b w:val="0"/>
                <w:sz w:val="18"/>
              </w:rPr>
              <w:t>GET /findings by task; synthesis is preview plus deliver to the chosen session.</w:t>
            </w:r>
          </w:p>
        </w:tc>
      </w:tr>
      <w:tr>
        <w:trPr>
          <w:cantSplit/>
        </w:trPr>
        <w:tc>
          <w:tcPr>
            <w:tcW w:type="dxa" w:w="3312"/>
            <w:vAlign w:val="center"/>
          </w:tcPr>
          <w:p>
            <w:pPr>
              <w:spacing w:after="40" w:line="252" w:lineRule="auto"/>
            </w:pPr>
            <w:r>
              <w:rPr>
                <w:b w:val="0"/>
                <w:sz w:val="18"/>
              </w:rPr>
              <w:t>search</w:t>
            </w:r>
          </w:p>
        </w:tc>
        <w:tc>
          <w:tcPr>
            <w:tcW w:type="dxa" w:w="6624"/>
            <w:vAlign w:val="center"/>
          </w:tcPr>
          <w:p>
            <w:pPr>
              <w:spacing w:after="40" w:line="252" w:lineRule="auto"/>
            </w:pPr>
            <w:r>
              <w:rPr>
                <w:b w:val="0"/>
                <w:sz w:val="18"/>
              </w:rPr>
              <w:t>GET /search with task scope and bounded pagination.</w:t>
            </w:r>
          </w:p>
        </w:tc>
      </w:tr>
    </w:tbl>
    <w:p>
      <w:pPr>
        <w:widowControl/>
        <w:spacing w:after="40" w:line="40" w:lineRule="exact" w:before="0"/>
      </w:pPr>
    </w:p>
    <w:p>
      <w:pPr>
        <w:pStyle w:val="Heading1"/>
        <w:pageBreakBefore/>
        <w:widowControl/>
      </w:pPr>
      <w:r>
        <w:t>Findings and context transfer</w:t>
      </w:r>
    </w:p>
    <w:p>
      <w:pPr>
        <w:widowControl/>
      </w:pPr>
      <w:r>
        <w:t xml:space="preserve">TR-060  A structured finding must include schema version, finding ID, immutable version, submission ID, task ID, author, creation time, summary, claims with evidence references, recommendations, unresolved questions, and parent artifact IDs. Author is either {kind: user} or {kind: agent, runtime, native_session_id, run_id}. Missing evidence is permitted only when labeled unsupported. Browser-rendered claims are untrusted text, not executable instructions. This schema is authoritative; the PRD example mirrors it.</w:t>
      </w:r>
    </w:p>
    <w:p>
      <w:pPr>
        <w:widowControl/>
        <w:spacing w:line="240" w:lineRule="auto"/>
      </w:pPr>
      <w:r>
        <w:rPr>
          <w:rFonts w:ascii="DejaVu Sans Mono" w:hAnsi="DejaVu Sans Mono"/>
          <w:sz w:val="17"/>
        </w:rPr>
        <w:t xml:space="preserve">{</w:t>
        <w:br/>
        <w:t xml:space="preserve">  "schema_version": 1, "finding_id": "find_01", "version": 1,</w:t>
        <w:br/>
        <w:t xml:space="preserve">  "submission_id": "sub_9f2", "task_id": "task_01",</w:t>
        <w:br/>
        <w:t xml:space="preserve">  "created_at": "2026-10-14T12:00:00Z",</w:t>
        <w:br/>
        <w:t xml:space="preserve">  "author": {"kind": "agent", "runtime": "codex",</w:t>
        <w:br/>
        <w:t xml:space="preserve">             "native_session_id": "native_42", "run_id": "run_07"},</w:t>
        <w:br/>
        <w:t xml:space="preserve">  "summary": "The reconnect path can duplicate a prompt.",</w:t>
        <w:br/>
        <w:t xml:space="preserve">  "claims": [{"text": "Delivery state is not persisted before send.",</w:t>
        <w:br/>
        <w:t xml:space="preserve">    "evidence": [{"artifact_id": "src_08", "range": "120-135"}]}],</w:t>
        <w:br/>
        <w:t xml:space="preserve">  "recommendations": ["Persist an action ID before dispatch."],</w:t>
        <w:br/>
        <w:t xml:space="preserve">  "questions": ["Does the runtime expose reconciliation IDs?"],</w:t>
        <w:br/>
        <w:t xml:space="preserve">  "parents": []</w:t>
        <w:br/>
        <w:t xml:space="preserve">}</w:t>
      </w:r>
    </w:p>
    <w:p>
      <w:pPr>
        <w:pStyle w:val="Heading2"/>
        <w:widowControl/>
      </w:pPr>
      <w:r>
        <w:t>Prepare and confirm</w:t>
      </w:r>
    </w:p>
    <w:p>
      <w:pPr>
        <w:widowControl/>
      </w:pPr>
      <w:r>
        <w:t>TR-061  Build a deterministic packet from task objective, the user’s target question, selected source snapshots, selected findings, and bounded transcript excerpts. The preview shows exact recipient, source versions, excerpt boundaries, proposed redactions, bytes, and an explicitly approximate token estimate. The default is findings first; full transcripts are excluded unless selected explicitly.</w:t>
      </w:r>
    </w:p>
    <w:p>
      <w:pPr>
        <w:widowControl/>
      </w:pPr>
      <w:r>
        <w:t xml:space="preserve">TR-062  Proposed initial limits are 100 search results per page, 100 transcript messages per excerpt, and 256 KiB of text per context packet. The packet limit applies to inline text; larger approved artifacts are referenced by ID and retrievable only through a grant. The 64 KiB inline limit in TR-082 is a display limit only. These are engineering guardrails to validate, not PRD promises. Never silently truncate selected evidence: require a smaller selection or explicit approved summarization. Preserve pinned exact evidence and source attribution.</w:t>
      </w:r>
    </w:p>
    <w:p>
      <w:pPr>
        <w:widowControl/>
      </w:pPr>
      <w:r>
        <w:t>TR-063  Confirming the preview must lock the approved content hash, recipient, source hashes, redactions, and manifest version. Recheck mutable sources; if any source or target changes, invalidate the preview and ask for a new review. Store the precise approved payload in Robin’s restricted artifact store so later audit does not depend on mutable source files.</w:t>
      </w:r>
    </w:p>
    <w:p>
      <w:pPr>
        <w:pStyle w:val="Heading2"/>
        <w:widowControl/>
      </w:pPr>
      <w:r>
        <w:t>Delivery and lineage</w:t>
      </w:r>
    </w:p>
    <w:p>
      <w:pPr>
        <w:widowControl/>
      </w:pPr>
      <w:r>
        <w:t xml:space="preserve">TR-064  Track prepared, submitted, acknowledged, failed, and outcome_unknown delivery. Adapter acknowledgement proves accepted input only; consumption is claimed only with supporting native evidence. Record each resulting synthesis as a new artifact linked to the manifest and input versions. Independent reviewers receive no other-agent findings until explicit transfer. Robin never injects unselected findings and keeps unshared findings outside every project and execution directory. Where the runtime sandbox can exclude the artifact store, launch reviewers with that exclusion; otherwise report independence as not enforced and label the review.</w:t>
      </w:r>
    </w:p>
    <w:p>
      <w:pPr>
        <w:widowControl/>
      </w:pPr>
      <w:r>
        <w:t xml:space="preserve">TR-065  Flag duplicate hashes and label derived artifacts in every preview (P0). Excluding detected context loops by default through lineage is P1 (PRD FR-025). Every summary labels itself and links to its sources. New claims in a synthesis need separate evidence. Do not treat repeated paraphrases as independent confirmation.</w:t>
      </w:r>
    </w:p>
    <w:p>
      <w:pPr>
        <w:widowControl/>
      </w:pPr>
      <w:r>
        <w:t xml:space="preserve">TR-066  Optional MCP calls are scoped to a task and calling session. task.get, finding.list/read/publish, artifact.publish, session.search, and session.read_excerpt expose only granted sources and approved ranges; session.search covers only sessions granted to the task. No arbitrary filesystem or global transcript access is implied by attaching a session.</w:t>
      </w:r>
    </w:p>
    <w:p>
      <w:pPr>
        <w:widowControl/>
      </w:pPr>
      <w:r>
        <w:t xml:space="preserve">TR-067  Every adapter must support at least one validated finding publication path: task-scoped MCP finding.publish, or a structured final-message block that the adapter parses from the session's own event stream. Robin passes a per-session launch identity and derives attribution from it, never from file contents or self-reported fields. Duplicate submission IDs return the stored result; invalid submissions are recorded as rejected and raise a finding_review attention item. Phase 0 selects the path per runtime.</w:t>
      </w:r>
    </w:p>
    <w:p>
      <w:pPr>
        <w:widowControl/>
      </w:pPr>
      <w:r>
        <w:t xml:space="preserve">TR-068  Agent retrieval requires a RetrievalGrant bound to the calling session, task, exact artifact versions or excerpt ranges, and the approving user action. Grants never widen to newer versions or wider ranges and can be revoked. Each read records a manifest and delivery with the exact content returned.</w:t>
      </w:r>
    </w:p>
    <w:p>
      <w:pPr>
        <w:widowControl/>
      </w:pPr>
      <w:r>
        <w:t xml:space="preserve">TR-069  Context packets frame shared content as quoted data with source labels and an explicit instruction boundary. The preview flags excerpts containing tool output or web content. Treat all transferred text as untrusted input to the target agent.</w:t>
      </w:r>
    </w:p>
    <w:p>
      <w:pPr>
        <w:pStyle w:val="Heading1"/>
        <w:pageBreakBefore/>
        <w:widowControl/>
      </w:pPr>
      <w:r>
        <w:t>Security and local operations</w:t>
      </w:r>
    </w:p>
    <w:p>
      <w:pPr>
        <w:widowControl/>
      </w:pPr>
      <w:r>
        <w:t>TR-070  Protect the local control surface against hostile websites, malicious transcript content, accidental data sharing, path traversal, and concurrent writes. Runtime permissions remain authoritative; Robin never auto-approves a request or widens a runtime sandbox to make an action succeed.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304"/>
        <w:gridCol w:w="7632"/>
      </w:tblGrid>
      <w:tr>
        <w:trPr>
          <w:cantSplit/>
          <w:tblHeader/>
        </w:trPr>
        <w:tc>
          <w:tcPr>
            <w:tcW w:type="dxa" w:w="2304"/>
            <w:vAlign w:val="center"/>
            <w:shd w:fill="E8EDF2"/>
          </w:tcPr>
          <w:p>
            <w:pPr>
              <w:keepNext/>
              <w:spacing w:after="40" w:line="252" w:lineRule="auto"/>
            </w:pPr>
            <w:r>
              <w:rPr>
                <w:b/>
                <w:sz w:val="18"/>
              </w:rPr>
              <w:t>Boundary</w:t>
            </w:r>
          </w:p>
        </w:tc>
        <w:tc>
          <w:tcPr>
            <w:tcW w:type="dxa" w:w="7632"/>
            <w:vAlign w:val="center"/>
            <w:shd w:fill="E8EDF2"/>
          </w:tcPr>
          <w:p>
            <w:pPr>
              <w:keepNext/>
              <w:spacing w:after="40" w:line="252" w:lineRule="auto"/>
            </w:pPr>
            <w:r>
              <w:rPr>
                <w:b/>
                <w:sz w:val="18"/>
              </w:rPr>
              <w:t>Required handling</w:t>
            </w:r>
          </w:p>
        </w:tc>
      </w:tr>
      <w:tr>
        <w:trPr>
          <w:cantSplit/>
        </w:trPr>
        <w:tc>
          <w:tcPr>
            <w:tcW w:type="dxa" w:w="2304"/>
            <w:vAlign w:val="center"/>
          </w:tcPr>
          <w:p>
            <w:pPr>
              <w:spacing w:after="40" w:line="252" w:lineRule="auto"/>
            </w:pPr>
            <w:r>
              <w:rPr>
                <w:b w:val="0"/>
                <w:sz w:val="18"/>
              </w:rPr>
              <w:t>Browser content</w:t>
            </w:r>
          </w:p>
        </w:tc>
        <w:tc>
          <w:tcPr>
            <w:tcW w:type="dxa" w:w="7632"/>
            <w:vAlign w:val="center"/>
          </w:tcPr>
          <w:p>
            <w:pPr>
              <w:spacing w:after="40" w:line="252" w:lineRule="auto"/>
            </w:pPr>
            <w:r>
              <w:rPr>
                <w:b w:val="0"/>
                <w:sz w:val="18"/>
              </w:rPr>
              <w:t>Render transcripts and Markdown with a sanitized allowlist; disable raw HTML, active scripts, unsafe links and embedded remote resources.</w:t>
            </w:r>
          </w:p>
        </w:tc>
      </w:tr>
      <w:tr>
        <w:trPr>
          <w:cantSplit/>
        </w:trPr>
        <w:tc>
          <w:tcPr>
            <w:tcW w:type="dxa" w:w="2304"/>
            <w:vAlign w:val="center"/>
          </w:tcPr>
          <w:p>
            <w:pPr>
              <w:spacing w:after="40" w:line="252" w:lineRule="auto"/>
            </w:pPr>
            <w:r>
              <w:rPr>
                <w:b w:val="0"/>
                <w:sz w:val="18"/>
              </w:rPr>
              <w:t>Filesystem</w:t>
            </w:r>
          </w:p>
        </w:tc>
        <w:tc>
          <w:tcPr>
            <w:tcW w:type="dxa" w:w="7632"/>
            <w:vAlign w:val="center"/>
          </w:tcPr>
          <w:p>
            <w:pPr>
              <w:spacing w:after="40" w:line="252" w:lineRule="auto"/>
            </w:pPr>
            <w:r>
              <w:rPr>
                <w:b w:val="0"/>
                <w:sz w:val="18"/>
              </w:rPr>
              <w:t>Canonicalize and validate paths against the project or owned store; recheck symlinks at access; do not expose arbitrary file reads by path.</w:t>
            </w:r>
          </w:p>
        </w:tc>
      </w:tr>
      <w:tr>
        <w:trPr>
          <w:cantSplit/>
        </w:trPr>
        <w:tc>
          <w:tcPr>
            <w:tcW w:type="dxa" w:w="2304"/>
            <w:vAlign w:val="center"/>
          </w:tcPr>
          <w:p>
            <w:pPr>
              <w:spacing w:after="40" w:line="252" w:lineRule="auto"/>
            </w:pPr>
            <w:r>
              <w:rPr>
                <w:b w:val="0"/>
                <w:sz w:val="18"/>
              </w:rPr>
              <w:t>Process launch</w:t>
            </w:r>
          </w:p>
        </w:tc>
        <w:tc>
          <w:tcPr>
            <w:tcW w:type="dxa" w:w="7632"/>
            <w:vAlign w:val="center"/>
          </w:tcPr>
          <w:p>
            <w:pPr>
              <w:spacing w:after="40" w:line="252" w:lineRule="auto"/>
            </w:pPr>
            <w:r>
              <w:rPr>
                <w:b w:val="0"/>
                <w:sz w:val="18"/>
              </w:rPr>
              <w:t>Use executable allowlists and argument arrays; never interpolate shell commands from prompts, transcripts, or browser fields.</w:t>
            </w:r>
          </w:p>
        </w:tc>
      </w:tr>
      <w:tr>
        <w:trPr>
          <w:cantSplit/>
        </w:trPr>
        <w:tc>
          <w:tcPr>
            <w:tcW w:type="dxa" w:w="2304"/>
            <w:vAlign w:val="center"/>
          </w:tcPr>
          <w:p>
            <w:pPr>
              <w:spacing w:after="40" w:line="252" w:lineRule="auto"/>
            </w:pPr>
            <w:r>
              <w:rPr>
                <w:b w:val="0"/>
                <w:sz w:val="18"/>
              </w:rPr>
              <w:t>Credentials</w:t>
            </w:r>
          </w:p>
        </w:tc>
        <w:tc>
          <w:tcPr>
            <w:tcW w:type="dxa" w:w="7632"/>
            <w:vAlign w:val="center"/>
          </w:tcPr>
          <w:p>
            <w:pPr>
              <w:spacing w:after="40" w:line="252" w:lineRule="auto"/>
            </w:pPr>
            <w:r>
              <w:rPr>
                <w:b w:val="0"/>
                <w:sz w:val="18"/>
              </w:rPr>
              <w:t>Keep runtime credentials outside index and browser payloads; redact safe diagnostics and avoid capturing environment secrets.</w:t>
            </w:r>
          </w:p>
        </w:tc>
      </w:tr>
      <w:tr>
        <w:trPr>
          <w:cantSplit/>
        </w:trPr>
        <w:tc>
          <w:tcPr>
            <w:tcW w:type="dxa" w:w="2304"/>
            <w:vAlign w:val="center"/>
          </w:tcPr>
          <w:p>
            <w:pPr>
              <w:spacing w:after="40" w:line="252" w:lineRule="auto"/>
            </w:pPr>
            <w:r>
              <w:rPr>
                <w:b w:val="0"/>
                <w:sz w:val="18"/>
              </w:rPr>
              <w:t>Sharing and indexing</w:t>
            </w:r>
          </w:p>
        </w:tc>
        <w:tc>
          <w:tcPr>
            <w:tcW w:type="dxa" w:w="7632"/>
            <w:vAlign w:val="center"/>
          </w:tcPr>
          <w:p>
            <w:pPr>
              <w:spacing w:after="40" w:line="252" w:lineRule="auto"/>
            </w:pPr>
            <w:r>
              <w:rPr>
                <w:b w:val="0"/>
                <w:sz w:val="18"/>
              </w:rPr>
              <w:t>Honor exclusions before persistence where feasible; scan at index time and mask matches in search results and snippets; scan packets and present editable redaction previews. Patterns start from the gitleaks rule set, vendored as data with its version recorded, plus user-defined patterns. A scanner is not proof that content is secret-free.</w:t>
            </w:r>
          </w:p>
        </w:tc>
      </w:tr>
      <w:tr>
        <w:trPr>
          <w:cantSplit/>
        </w:trPr>
        <w:tc>
          <w:tcPr>
            <w:tcW w:type="dxa" w:w="2304"/>
            <w:vAlign w:val="center"/>
          </w:tcPr>
          <w:p>
            <w:pPr>
              <w:spacing w:after="40" w:line="252" w:lineRule="auto"/>
            </w:pPr>
            <w:r>
              <w:rPr>
                <w:b w:val="0"/>
                <w:sz w:val="18"/>
              </w:rPr>
              <w:t>Agent-to-agent content</w:t>
            </w:r>
          </w:p>
        </w:tc>
        <w:tc>
          <w:tcPr>
            <w:tcW w:type="dxa" w:w="7632"/>
            <w:vAlign w:val="center"/>
          </w:tcPr>
          <w:p>
            <w:pPr>
              <w:spacing w:after="40" w:line="252" w:lineRule="auto"/>
            </w:pPr>
            <w:r>
              <w:rPr>
                <w:b w:val="0"/>
                <w:sz w:val="18"/>
              </w:rPr>
              <w:t>Frame transfers as quoted data (TR-069); flag tool and web output in previews.</w:t>
            </w:r>
          </w:p>
        </w:tc>
      </w:tr>
      <w:tr>
        <w:trPr>
          <w:cantSplit/>
        </w:trPr>
        <w:tc>
          <w:tcPr>
            <w:tcW w:type="dxa" w:w="2304"/>
            <w:vAlign w:val="center"/>
          </w:tcPr>
          <w:p>
            <w:pPr>
              <w:spacing w:after="40" w:line="252" w:lineRule="auto"/>
            </w:pPr>
            <w:r>
              <w:rPr>
                <w:b w:val="0"/>
                <w:sz w:val="18"/>
              </w:rPr>
              <w:t>Harness configuration</w:t>
            </w:r>
          </w:p>
        </w:tc>
        <w:tc>
          <w:tcPr>
            <w:tcW w:type="dxa" w:w="7632"/>
            <w:vAlign w:val="center"/>
          </w:tcPr>
          <w:p>
            <w:pPr>
              <w:spacing w:after="40" w:line="252" w:lineRule="auto"/>
            </w:pPr>
            <w:r>
              <w:rPr>
                <w:b w:val="0"/>
                <w:sz w:val="18"/>
              </w:rPr>
              <w:t>Install hooks only on explicit opt-in with a preview of the change and an exact uninstall (TR-076); never modify harness settings silently.</w:t>
            </w:r>
          </w:p>
        </w:tc>
      </w:tr>
      <w:tr>
        <w:trPr>
          <w:cantSplit/>
        </w:trPr>
        <w:tc>
          <w:tcPr>
            <w:tcW w:type="dxa" w:w="2304"/>
            <w:vAlign w:val="center"/>
          </w:tcPr>
          <w:p>
            <w:pPr>
              <w:spacing w:after="40" w:line="252" w:lineRule="auto"/>
            </w:pPr>
            <w:r>
              <w:rPr>
                <w:b w:val="0"/>
                <w:sz w:val="18"/>
              </w:rPr>
              <w:t>Local data</w:t>
            </w:r>
          </w:p>
        </w:tc>
        <w:tc>
          <w:tcPr>
            <w:tcW w:type="dxa" w:w="7632"/>
            <w:vAlign w:val="center"/>
          </w:tcPr>
          <w:p>
            <w:pPr>
              <w:spacing w:after="40" w:line="252" w:lineRule="auto"/>
            </w:pPr>
            <w:r>
              <w:rPr>
                <w:b w:val="0"/>
                <w:sz w:val="18"/>
              </w:rPr>
              <w:t>Proposed directory mode 0700 and file mode 0600 where supported; no cloud sync or telemetry by default.</w:t>
            </w:r>
          </w:p>
        </w:tc>
      </w:tr>
      <w:tr>
        <w:trPr>
          <w:cantSplit/>
        </w:trPr>
        <w:tc>
          <w:tcPr>
            <w:tcW w:type="dxa" w:w="2304"/>
            <w:vAlign w:val="center"/>
          </w:tcPr>
          <w:p>
            <w:pPr>
              <w:spacing w:after="40" w:line="252" w:lineRule="auto"/>
            </w:pPr>
            <w:r>
              <w:rPr>
                <w:b w:val="0"/>
                <w:sz w:val="18"/>
              </w:rPr>
              <w:t>Concurrent repository writes</w:t>
            </w:r>
          </w:p>
        </w:tc>
        <w:tc>
          <w:tcPr>
            <w:tcW w:type="dxa" w:w="7632"/>
            <w:vAlign w:val="center"/>
          </w:tcPr>
          <w:p>
            <w:pPr>
              <w:spacing w:after="40" w:line="252" w:lineRule="auto"/>
            </w:pPr>
            <w:r>
              <w:rPr>
                <w:b w:val="0"/>
                <w:sz w:val="18"/>
              </w:rPr>
              <w:t>Display branch and directory for each write run; warn on shared paths. Optional worktrees require explicit paths and refuse collisions.</w:t>
            </w:r>
          </w:p>
        </w:tc>
      </w:tr>
    </w:tbl>
    <w:p>
      <w:pPr>
        <w:widowControl/>
        <w:spacing w:after="40" w:line="40" w:lineRule="exact" w:before="0"/>
      </w:pPr>
    </w:p>
    <w:p>
      <w:pPr>
        <w:pStyle w:val="Heading2"/>
        <w:widowControl/>
      </w:pPr>
      <w:r>
        <w:t>Lifecycle and installation</w:t>
      </w:r>
    </w:p>
    <w:p>
      <w:pPr>
        <w:widowControl/>
      </w:pPr>
      <w:r>
        <w:t xml:space="preserve">TR-071  Ship a uv/pipx-compatible command with bundled static assets and a capability doctor command. Installation checks SQLite FTS5, adapter prerequisites, writable data directory, and an available loopback port. The doctor reports tmux as optional; without it, terminal fallback uses the validated native command in the user's own terminal and tmux attachment is disabled with a reason. Declare supported OS and runtime versions in release notes. Bind only one service and one supervisor per data directory using OS locks; the doctor reports supervisor health and protocol version, and drift between installed Robin hooks and their recorded install.</w:t>
      </w:r>
    </w:p>
    <w:p>
      <w:pPr>
        <w:widowControl/>
      </w:pPr>
      <w:r>
        <w:t xml:space="preserve">TR-072  Distinguish browser close, service exit, run interruption, force termination, metadata deletion, artifact deletion, and worktree removal. Distinguish service exit from supervisor shutdown: managed sessions continue under the supervisor when the service exits, and stopping the supervisor is a confirmed action that names the sessions it ends. Startup reconciliation never automatically starts a new turn.</w:t>
      </w:r>
    </w:p>
    <w:p>
      <w:pPr>
        <w:pStyle w:val="Heading2"/>
        <w:widowControl/>
      </w:pPr>
      <w:r>
        <w:t>Migrations, backup, and export</w:t>
      </w:r>
    </w:p>
    <w:p>
      <w:pPr>
        <w:widowControl/>
      </w:pPr>
      <w:r>
        <w:t xml:space="preserve">TR-073  Backup and export implement PRD FR-043. Apply versioned migrations with a schema compatibility check and a consistent pre-migration backup. Fail safely if migration is interrupted. Use SQLite’s backup facility or a stopped service rather than copying an active database file without its WAL state. Downgrades require a compatible backup; do not improvise schema rollback.</w:t>
      </w:r>
    </w:p>
    <w:p>
      <w:pPr>
        <w:widowControl/>
      </w:pPr>
      <w:r>
        <w:t xml:space="preserve">TR-074  Export task metadata, owned artifacts, finding versions, and manifests with relative paths and hashes. Exclude credentials. Mark external native source references as references rather than pretending they were exported. Back up artifact files consistently with the database snapshot. A restore into a clean data directory must reproduce findings, manifests, and hashes.</w:t>
      </w:r>
    </w:p>
    <w:p>
      <w:pPr>
        <w:pStyle w:val="Heading2"/>
        <w:widowControl/>
      </w:pPr>
      <w:r>
        <w:t>Git metadata and worktrees</w:t>
      </w:r>
    </w:p>
    <w:p>
      <w:pPr>
        <w:widowControl/>
      </w:pPr>
      <w:r>
        <w:t xml:space="preserve">TR-075  Read Git metadata (repository, branch, base commit, working-tree state, changed files) off the request path and refresh it without blocking transcript navigation. Treat a non-Git directory as valid with no Git fields. Worktree creation and removal follow TR-070 and TR-072.</w:t>
      </w:r>
    </w:p>
    <w:p>
      <w:pPr>
        <w:pStyle w:val="Heading2"/>
        <w:widowControl/>
      </w:pPr>
      <w:r>
        <w:t xml:space="preserve">Harness hooks</w:t>
      </w:r>
    </w:p>
    <w:p>
      <w:pPr>
        <w:widowControl/>
      </w:pPr>
      <w:r>
        <w:t xml:space="preserve">TR-076  Provide an opt-in hook installer for each runtime whose hook mechanism Phase 0 confirms; other runtimes stay on transcript tailing and their capability report says so. Installation detects the harness configuration, previews the exact change, backs up the original, writes only on confirmation, and records the change. Robin entries sit alongside existing hooks without replacing or reordering them; uninstall removes only Robin entries and restores the configuration exactly. Hooks only observe: they call a local relay that authenticates with the CLI credential (TR-052), always exits 0 within a short timeout, and never blocks the harness or returns an approval or permission decision. If Robin is unavailable the event is dropped and recorded as a coverage gap. Hook events use the normal envelope and deduplication (TR-030–032).</w:t>
      </w:r>
    </w:p>
    <w:p>
      <w:pPr>
        <w:pStyle w:val="Heading1"/>
        <w:pageBreakBefore/>
        <w:widowControl/>
      </w:pPr>
      <w:r>
        <w:t>Performance, retention, and diagnostics</w:t>
      </w:r>
    </w:p>
    <w:p>
      <w:pPr>
        <w:widowControl/>
      </w:pPr>
      <w:r>
        <w:t>TR-080  Treat the PRD performance values as acceptance targets, not measured results. Establish a reference machine and reproducible dataset, then record percentile latency, CPU, memory, database size, active connections, and source delay. Reference machine: Mac mini M4; record the exact chip, core count, RAM, storage, and macOS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736"/>
        <w:gridCol w:w="7200"/>
      </w:tblGrid>
      <w:tr>
        <w:trPr>
          <w:cantSplit/>
          <w:tblHeader/>
        </w:trPr>
        <w:tc>
          <w:tcPr>
            <w:tcW w:type="dxa" w:w="2736"/>
            <w:vAlign w:val="center"/>
            <w:shd w:fill="E8EDF2"/>
          </w:tcPr>
          <w:p>
            <w:pPr>
              <w:keepNext/>
              <w:spacing w:after="40" w:line="252" w:lineRule="auto"/>
            </w:pPr>
            <w:r>
              <w:rPr>
                <w:b/>
                <w:sz w:val="18"/>
              </w:rPr>
              <w:t>Target</w:t>
            </w:r>
          </w:p>
        </w:tc>
        <w:tc>
          <w:tcPr>
            <w:tcW w:type="dxa" w:w="7200"/>
            <w:vAlign w:val="center"/>
            <w:shd w:fill="E8EDF2"/>
          </w:tcPr>
          <w:p>
            <w:pPr>
              <w:keepNext/>
              <w:spacing w:after="40" w:line="252" w:lineRule="auto"/>
            </w:pPr>
            <w:r>
              <w:rPr>
                <w:b/>
                <w:sz w:val="18"/>
              </w:rPr>
              <w:t>Measurement and implementation expectation</w:t>
            </w:r>
          </w:p>
        </w:tc>
      </w:tr>
      <w:tr>
        <w:trPr>
          <w:cantSplit/>
        </w:trPr>
        <w:tc>
          <w:tcPr>
            <w:tcW w:type="dxa" w:w="2736"/>
            <w:vAlign w:val="center"/>
          </w:tcPr>
          <w:p>
            <w:pPr>
              <w:spacing w:after="40" w:line="252" w:lineRule="auto"/>
            </w:pPr>
            <w:r>
              <w:rPr>
                <w:b w:val="0"/>
                <w:sz w:val="18"/>
              </w:rPr>
              <w:t>Interactive startup within 2 s</w:t>
            </w:r>
          </w:p>
        </w:tc>
        <w:tc>
          <w:tcPr>
            <w:tcW w:type="dxa" w:w="7200"/>
            <w:vAlign w:val="center"/>
          </w:tcPr>
          <w:p>
            <w:pPr>
              <w:spacing w:after="40" w:line="252" w:lineRule="auto"/>
            </w:pPr>
            <w:r>
              <w:rPr>
                <w:b w:val="0"/>
                <w:sz w:val="18"/>
              </w:rPr>
              <w:t>10,000 indexed sessions after initial scan; first usable dashboard snapshot from service start on reference hardware.</w:t>
            </w:r>
          </w:p>
        </w:tc>
      </w:tr>
      <w:tr>
        <w:trPr>
          <w:cantSplit/>
        </w:trPr>
        <w:tc>
          <w:tcPr>
            <w:tcW w:type="dxa" w:w="2736"/>
            <w:vAlign w:val="center"/>
          </w:tcPr>
          <w:p>
            <w:pPr>
              <w:spacing w:after="40" w:line="252" w:lineRule="auto"/>
            </w:pPr>
            <w:r>
              <w:rPr>
                <w:b w:val="0"/>
                <w:sz w:val="18"/>
              </w:rPr>
              <w:t>Search first results within 300 ms</w:t>
            </w:r>
          </w:p>
        </w:tc>
        <w:tc>
          <w:tcPr>
            <w:tcW w:type="dxa" w:w="7200"/>
            <w:vAlign w:val="center"/>
          </w:tcPr>
          <w:p>
            <w:pPr>
              <w:spacing w:after="40" w:line="252" w:lineRule="auto"/>
            </w:pPr>
            <w:r>
              <w:rPr>
                <w:b w:val="0"/>
                <w:sz w:val="18"/>
              </w:rPr>
              <w:t>Typical task and transcript FTS queries; proposed p95 criterion with documented warm/cold samples.</w:t>
            </w:r>
          </w:p>
        </w:tc>
      </w:tr>
      <w:tr>
        <w:trPr>
          <w:cantSplit/>
        </w:trPr>
        <w:tc>
          <w:tcPr>
            <w:tcW w:type="dxa" w:w="2736"/>
            <w:vAlign w:val="center"/>
          </w:tcPr>
          <w:p>
            <w:pPr>
              <w:spacing w:after="40" w:line="252" w:lineRule="auto"/>
            </w:pPr>
            <w:r>
              <w:rPr>
                <w:b w:val="0"/>
                <w:sz w:val="18"/>
              </w:rPr>
              <w:t>Idle indexing below 1% CPU</w:t>
            </w:r>
          </w:p>
        </w:tc>
        <w:tc>
          <w:tcPr>
            <w:tcW w:type="dxa" w:w="7200"/>
            <w:vAlign w:val="center"/>
          </w:tcPr>
          <w:p>
            <w:pPr>
              <w:spacing w:after="40" w:line="252" w:lineRule="auto"/>
            </w:pPr>
            <w:r>
              <w:rPr>
                <w:b w:val="0"/>
                <w:sz w:val="18"/>
              </w:rPr>
              <w:t>Average after initial scan over a documented idle interval; use filesystem notifications plus bounded polling fallback.</w:t>
            </w:r>
          </w:p>
        </w:tc>
      </w:tr>
      <w:tr>
        <w:trPr>
          <w:cantSplit/>
        </w:trPr>
        <w:tc>
          <w:tcPr>
            <w:tcW w:type="dxa" w:w="2736"/>
            <w:vAlign w:val="center"/>
          </w:tcPr>
          <w:p>
            <w:pPr>
              <w:spacing w:after="40" w:line="252" w:lineRule="auto"/>
            </w:pPr>
            <w:r>
              <w:rPr>
                <w:b w:val="0"/>
                <w:sz w:val="18"/>
              </w:rPr>
              <w:t>95% of events visible within 2 s</w:t>
            </w:r>
          </w:p>
        </w:tc>
        <w:tc>
          <w:tcPr>
            <w:tcW w:type="dxa" w:w="7200"/>
            <w:vAlign w:val="center"/>
          </w:tcPr>
          <w:p>
            <w:pPr>
              <w:spacing w:after="40" w:line="252" w:lineRule="auto"/>
            </w:pPr>
            <w:r>
              <w:rPr>
                <w:b w:val="0"/>
                <w:sz w:val="18"/>
              </w:rPr>
              <w:t>Measure UI arrival minus service ingestion time. Native source-to-ingestion delay is a separate metric.</w:t>
            </w:r>
          </w:p>
        </w:tc>
      </w:tr>
      <w:tr>
        <w:trPr>
          <w:cantSplit/>
        </w:trPr>
        <w:tc>
          <w:tcPr>
            <w:tcW w:type="dxa" w:w="2736"/>
            <w:vAlign w:val="center"/>
          </w:tcPr>
          <w:p>
            <w:pPr>
              <w:spacing w:after="40" w:line="252" w:lineRule="auto"/>
            </w:pPr>
            <w:r>
              <w:rPr>
                <w:b w:val="0"/>
                <w:sz w:val="18"/>
              </w:rPr>
              <w:t>20 active sessions remain usable</w:t>
            </w:r>
          </w:p>
        </w:tc>
        <w:tc>
          <w:tcPr>
            <w:tcW w:type="dxa" w:w="7200"/>
            <w:vAlign w:val="center"/>
          </w:tcPr>
          <w:p>
            <w:pPr>
              <w:spacing w:after="40" w:line="252" w:lineRule="auto"/>
            </w:pPr>
            <w:r>
              <w:rPr>
                <w:b w:val="0"/>
                <w:sz w:val="18"/>
              </w:rPr>
              <w:t>Filter, inspect evidence, open attention, and submit a control while events stream. Virtualize history and bound rendering batches.</w:t>
            </w:r>
          </w:p>
        </w:tc>
      </w:tr>
      <w:tr>
        <w:trPr>
          <w:cantSplit/>
        </w:trPr>
        <w:tc>
          <w:tcPr>
            <w:tcW w:type="dxa" w:w="2736"/>
            <w:vAlign w:val="center"/>
          </w:tcPr>
          <w:p>
            <w:pPr>
              <w:spacing w:after="40" w:line="252" w:lineRule="auto"/>
            </w:pPr>
            <w:r>
              <w:rPr>
                <w:b w:val="0"/>
                <w:sz w:val="18"/>
              </w:rPr>
              <w:t>Crash and replay preserve data</w:t>
            </w:r>
          </w:p>
        </w:tc>
        <w:tc>
          <w:tcPr>
            <w:tcW w:type="dxa" w:w="7200"/>
            <w:vAlign w:val="center"/>
          </w:tcPr>
          <w:p>
            <w:pPr>
              <w:spacing w:after="40" w:line="252" w:lineRule="auto"/>
            </w:pPr>
            <w:r>
              <w:rPr>
                <w:b w:val="0"/>
                <w:sz w:val="18"/>
              </w:rPr>
              <w:t>Kill service at transaction and action boundaries; verify durable cursors, no duplicate prompts, and explicit uncertain outcomes.</w:t>
            </w:r>
          </w:p>
        </w:tc>
      </w:tr>
    </w:tbl>
    <w:p>
      <w:pPr>
        <w:widowControl/>
        <w:spacing w:after="40" w:line="40" w:lineRule="exact" w:before="0"/>
      </w:pPr>
    </w:p>
    <w:p>
      <w:pPr>
        <w:pStyle w:val="Heading2"/>
        <w:widowControl/>
      </w:pPr>
      <w:r>
        <w:t>Retention policy</w:t>
      </w:r>
    </w:p>
    <w:p>
      <w:pPr>
        <w:widowControl/>
      </w:pPr>
      <w:r>
        <w:t>TR-081  Proposed first release retains metadata, findings, approved manifests, and audit records until explicit deletion. Activity and copied transcript retention are configurable, with a default 20 GB cap: Robin warns at 80% and prunes the oldest copied activity first. Findings, manifests, and audit records never count toward the cap; no silent eviction of core records. Provide storage usage and a cleanup preview. Native transcripts remain under their harness’s policy. Pruning must preserve source identity and mark unavailable excerpts honestly.</w:t>
      </w:r>
    </w:p>
    <w:p>
      <w:pPr>
        <w:widowControl/>
      </w:pPr>
      <w:r>
        <w:t>TR-082  Keep summaries separate from verbose tool payloads. Proposed default is a 1 MiB per-record parser limit and a 64 KiB inline display limit; larger approved payloads live in bounded artifact storage with an explicit truncated preview and a safe download. Reject oversized malformed records with a diagnostic rather than exhausting memory. Validate these limits in load tests.</w:t>
      </w:r>
    </w:p>
    <w:p>
      <w:pPr>
        <w:pStyle w:val="Heading2"/>
        <w:widowControl/>
      </w:pPr>
      <w:r>
        <w:t>Diagnostics and health</w:t>
      </w:r>
    </w:p>
    <w:p>
      <w:pPr>
        <w:widowControl/>
      </w:pPr>
      <w:r>
        <w:t>TR-083  Structured logs include adapter/version, session ID, action ID, cursor, stage, duration, and safe error code. Never log full prompts, raw credentials, or secret scanner matches by default. A user-requested diagnostic export must preview its content and redactions.</w:t>
      </w:r>
    </w:p>
    <w:p>
      <w:pPr>
        <w:widowControl/>
      </w:pPr>
      <w:r>
        <w:t xml:space="preserve">TR-084  Health checks distinguish service ready, database writable, index backlog, supervisor connection, adapter availability, event coverage, and stale session connections. Keep diagnostics local. Surface retryable indexing failures without repeatedly notifying the user for the same source; active failed controls always receive a visible outcome.</w:t>
      </w:r>
    </w:p>
    <w:p>
      <w:pPr>
        <w:pStyle w:val="Heading1"/>
        <w:pageBreakBefore/>
        <w:widowControl/>
      </w:pPr>
      <w:r>
        <w:t>Verification and release gates</w:t>
      </w:r>
    </w:p>
    <w:p>
      <w:pPr>
        <w:widowControl/>
      </w:pPr>
      <w:r>
        <w:t>TR-090  A release needs automated fixture checks and real runtime evidence. Mocks validate Robin logic; they do not prove native session compatibility. Keep a dated compatibility matrix for each supported OS, runtime version, account flow, capability, and known limitation.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304"/>
        <w:gridCol w:w="7632"/>
      </w:tblGrid>
      <w:tr>
        <w:trPr>
          <w:cantSplit/>
          <w:tblHeader/>
        </w:trPr>
        <w:tc>
          <w:tcPr>
            <w:tcW w:type="dxa" w:w="2304"/>
            <w:vAlign w:val="center"/>
            <w:shd w:fill="E8EDF2"/>
          </w:tcPr>
          <w:p>
            <w:pPr>
              <w:keepNext/>
              <w:spacing w:after="40" w:line="252" w:lineRule="auto"/>
            </w:pPr>
            <w:r>
              <w:rPr>
                <w:b/>
                <w:sz w:val="18"/>
              </w:rPr>
              <w:t>Test layer</w:t>
            </w:r>
          </w:p>
        </w:tc>
        <w:tc>
          <w:tcPr>
            <w:tcW w:type="dxa" w:w="7632"/>
            <w:vAlign w:val="center"/>
            <w:shd w:fill="E8EDF2"/>
          </w:tcPr>
          <w:p>
            <w:pPr>
              <w:keepNext/>
              <w:spacing w:after="40" w:line="252" w:lineRule="auto"/>
            </w:pPr>
            <w:r>
              <w:rPr>
                <w:b/>
                <w:sz w:val="18"/>
              </w:rPr>
              <w:t>Required scenarios and pass evidence</w:t>
            </w:r>
          </w:p>
        </w:tc>
      </w:tr>
      <w:tr>
        <w:trPr>
          <w:cantSplit/>
        </w:trPr>
        <w:tc>
          <w:tcPr>
            <w:tcW w:type="dxa" w:w="2304"/>
            <w:vAlign w:val="center"/>
          </w:tcPr>
          <w:p>
            <w:pPr>
              <w:spacing w:after="40" w:line="252" w:lineRule="auto"/>
            </w:pPr>
            <w:r>
              <w:rPr>
                <w:b w:val="0"/>
                <w:sz w:val="18"/>
              </w:rPr>
              <w:t>Parser and schema</w:t>
            </w:r>
          </w:p>
        </w:tc>
        <w:tc>
          <w:tcPr>
            <w:tcW w:type="dxa" w:w="7632"/>
            <w:vAlign w:val="center"/>
          </w:tcPr>
          <w:p>
            <w:pPr>
              <w:spacing w:after="40" w:line="252" w:lineRule="auto"/>
            </w:pPr>
            <w:r>
              <w:rPr>
                <w:b w:val="0"/>
                <w:sz w:val="18"/>
              </w:rPr>
              <w:t>Partial JSONL, Unicode, rotation, truncation, unknown fields, oversized records, native order, repeated identical text, and provenance preservation.</w:t>
            </w:r>
          </w:p>
        </w:tc>
      </w:tr>
      <w:tr>
        <w:trPr>
          <w:cantSplit/>
        </w:trPr>
        <w:tc>
          <w:tcPr>
            <w:tcW w:type="dxa" w:w="2304"/>
            <w:vAlign w:val="center"/>
          </w:tcPr>
          <w:p>
            <w:pPr>
              <w:spacing w:after="40" w:line="252" w:lineRule="auto"/>
            </w:pPr>
            <w:r>
              <w:rPr>
                <w:b w:val="0"/>
                <w:sz w:val="18"/>
              </w:rPr>
              <w:t>Database and actions</w:t>
            </w:r>
          </w:p>
        </w:tc>
        <w:tc>
          <w:tcPr>
            <w:tcW w:type="dxa" w:w="7632"/>
            <w:vAlign w:val="center"/>
          </w:tcPr>
          <w:p>
            <w:pPr>
              <w:spacing w:after="40" w:line="252" w:lineRule="auto"/>
            </w:pPr>
            <w:r>
              <w:rPr>
                <w:b w:val="0"/>
                <w:sz w:val="18"/>
              </w:rPr>
              <w:t>Migration interruption, rollback, checkpoint atomicity, ID conflict, two browser tabs, per-session mutation ordering, crash during dispatch, outcome_unknown recovery, service restart under the supervisor, supervisor crash, and backup restore into a clean data directory.</w:t>
            </w:r>
          </w:p>
        </w:tc>
      </w:tr>
      <w:tr>
        <w:trPr>
          <w:cantSplit/>
        </w:trPr>
        <w:tc>
          <w:tcPr>
            <w:tcW w:type="dxa" w:w="2304"/>
            <w:vAlign w:val="center"/>
          </w:tcPr>
          <w:p>
            <w:pPr>
              <w:spacing w:after="40" w:line="252" w:lineRule="auto"/>
            </w:pPr>
            <w:r>
              <w:rPr>
                <w:b w:val="0"/>
                <w:sz w:val="18"/>
              </w:rPr>
              <w:t>Adapter contract</w:t>
            </w:r>
          </w:p>
        </w:tc>
        <w:tc>
          <w:tcPr>
            <w:tcW w:type="dxa" w:w="7632"/>
            <w:vAlign w:val="center"/>
          </w:tcPr>
          <w:p>
            <w:pPr>
              <w:spacing w:after="40" w:line="252" w:lineRule="auto"/>
            </w:pPr>
            <w:r>
              <w:rPr>
                <w:b w:val="0"/>
                <w:sz w:val="18"/>
              </w:rPr>
              <w:t>Real launch, native ID, permission settings, follow-up mode, interruption, approval expiry, rejection, resume, task switch attribution, terminal handoff ownership, event coverage, terminal fallback, hook install and exact uninstall, auth failure, and unsupported version.</w:t>
            </w:r>
          </w:p>
        </w:tc>
      </w:tr>
      <w:tr>
        <w:trPr>
          <w:cantSplit/>
        </w:trPr>
        <w:tc>
          <w:tcPr>
            <w:tcW w:type="dxa" w:w="2304"/>
            <w:vAlign w:val="center"/>
          </w:tcPr>
          <w:p>
            <w:pPr>
              <w:spacing w:after="40" w:line="252" w:lineRule="auto"/>
            </w:pPr>
            <w:r>
              <w:rPr>
                <w:b w:val="0"/>
                <w:sz w:val="18"/>
              </w:rPr>
              <w:t>Browser integration</w:t>
            </w:r>
          </w:p>
        </w:tc>
        <w:tc>
          <w:tcPr>
            <w:tcW w:type="dxa" w:w="7632"/>
            <w:vAlign w:val="center"/>
          </w:tcPr>
          <w:p>
            <w:pPr>
              <w:spacing w:after="40" w:line="252" w:lineRule="auto"/>
            </w:pPr>
            <w:r>
              <w:rPr>
                <w:b w:val="0"/>
                <w:sz w:val="18"/>
              </w:rPr>
              <w:t>Snapshot/SSE race, cursor replay, expired cursor resync, slow client, server restart, gap indicator, disabled action reason, and navigation to source.</w:t>
            </w:r>
          </w:p>
        </w:tc>
      </w:tr>
      <w:tr>
        <w:trPr>
          <w:cantSplit/>
        </w:trPr>
        <w:tc>
          <w:tcPr>
            <w:tcW w:type="dxa" w:w="2304"/>
            <w:vAlign w:val="center"/>
          </w:tcPr>
          <w:p>
            <w:pPr>
              <w:spacing w:after="40" w:line="252" w:lineRule="auto"/>
            </w:pPr>
            <w:r>
              <w:rPr>
                <w:b w:val="0"/>
                <w:sz w:val="18"/>
              </w:rPr>
              <w:t>Context collaboration</w:t>
            </w:r>
          </w:p>
        </w:tc>
        <w:tc>
          <w:tcPr>
            <w:tcW w:type="dxa" w:w="7632"/>
            <w:vAlign w:val="center"/>
          </w:tcPr>
          <w:p>
            <w:pPr>
              <w:spacing w:after="40" w:line="252" w:lineRule="auto"/>
            </w:pPr>
            <w:r>
              <w:rPr>
                <w:b w:val="0"/>
                <w:sz w:val="18"/>
              </w:rPr>
              <w:t>Independent inputs and reported isolation boundary, selected findings only, publication with MCP disabled, rejected submission, grant scope, packet-size limit, changed source invalidation, redaction, immutable payload hash, lineage, and acknowledged synthesis.</w:t>
            </w:r>
          </w:p>
        </w:tc>
      </w:tr>
      <w:tr>
        <w:trPr>
          <w:cantSplit/>
        </w:trPr>
        <w:tc>
          <w:tcPr>
            <w:tcW w:type="dxa" w:w="2304"/>
            <w:vAlign w:val="center"/>
          </w:tcPr>
          <w:p>
            <w:pPr>
              <w:spacing w:after="40" w:line="252" w:lineRule="auto"/>
            </w:pPr>
            <w:r>
              <w:rPr>
                <w:b w:val="0"/>
                <w:sz w:val="18"/>
              </w:rPr>
              <w:t>Security</w:t>
            </w:r>
          </w:p>
        </w:tc>
        <w:tc>
          <w:tcPr>
            <w:tcW w:type="dxa" w:w="7632"/>
            <w:vAlign w:val="center"/>
          </w:tcPr>
          <w:p>
            <w:pPr>
              <w:spacing w:after="40" w:line="252" w:lineRule="auto"/>
            </w:pPr>
            <w:r>
              <w:rPr>
                <w:b w:val="0"/>
                <w:sz w:val="18"/>
              </w:rPr>
              <w:t>Origin/Host/CSRF rejection, sanitized hostile Markdown, traversal and symlink escape, safe process arguments, task-scoped MCP, and credential-free diagnostics.</w:t>
            </w:r>
          </w:p>
        </w:tc>
      </w:tr>
      <w:tr>
        <w:trPr>
          <w:cantSplit/>
        </w:trPr>
        <w:tc>
          <w:tcPr>
            <w:tcW w:type="dxa" w:w="2304"/>
            <w:vAlign w:val="center"/>
          </w:tcPr>
          <w:p>
            <w:pPr>
              <w:spacing w:after="40" w:line="252" w:lineRule="auto"/>
            </w:pPr>
            <w:r>
              <w:rPr>
                <w:b w:val="0"/>
                <w:sz w:val="18"/>
              </w:rPr>
              <w:t>Performance and accessibility</w:t>
            </w:r>
          </w:p>
        </w:tc>
        <w:tc>
          <w:tcPr>
            <w:tcW w:type="dxa" w:w="7632"/>
            <w:vAlign w:val="center"/>
          </w:tcPr>
          <w:p>
            <w:pPr>
              <w:spacing w:after="40" w:line="252" w:lineRule="auto"/>
            </w:pPr>
            <w:r>
              <w:rPr>
                <w:b w:val="0"/>
                <w:sz w:val="18"/>
              </w:rPr>
              <w:t>Reference dataset targets; 20 concurrent sessions; keyboard-only core workflows, visible focus, announced state, contrast, and reduced motion.</w:t>
            </w:r>
          </w:p>
        </w:tc>
      </w:tr>
    </w:tbl>
    <w:p>
      <w:pPr>
        <w:widowControl/>
        <w:spacing w:after="40" w:line="40" w:lineRule="exact" w:before="0"/>
      </w:pPr>
    </w:p>
    <w:p>
      <w:pPr>
        <w:pStyle w:val="Heading2"/>
        <w:widowControl/>
      </w:pPr>
      <w:r>
        <w:t>End-to-end release scenario</w:t>
      </w:r>
    </w:p>
    <w:p>
      <w:pPr>
        <w:widowControl/>
      </w:pPr>
      <w:r>
        <w:t>Register a repository and PRD-review task. Discover one historical session per harness; launch one managed session per harness, observe real events, and collect findings. Handle supported attention, interrupt one run, preview Codex and Pi findings for Claude, confirm delivery, and retain the resulting synthesis. Search back to the sources. Refresh the browser and restart the service; the supervisor keeps managed sessions running and Robin reconciles them without relaunch or repeated input.</w:t>
      </w:r>
    </w:p>
    <w:p>
      <w:pPr>
        <w:widowControl/>
      </w:pPr>
      <w:r>
        <w:t>Also verify supervisor exit without automatic relaunch, backup and restore, unsupported controls, expired approvals, malformed sources, a lost delivery acknowledgement, and unavailable historical content. The UI must retain honest state and never turn a native end-of-turn signal into verified task completion.</w:t>
      </w:r>
    </w:p>
    <w:p>
      <w:pPr>
        <w:pStyle w:val="Heading2"/>
        <w:widowControl/>
      </w:pPr>
      <w:r>
        <w:t>Release decision</w:t>
      </w:r>
    </w:p>
    <w:p>
      <w:pPr>
        <w:widowControl/>
      </w:pPr>
      <w:r>
        <w:t xml:space="preserve">TR-091  P0 workflow failures block release. Runtime-specific limits can be accepted only if the capability matrix and native fallback still satisfy the PRD workflow; a runtime that misses the PRD minimum capability floor ships observed-only with live controls disabled and the reason shown. The release record includes each runtime's live or observed-only level, builds, tested versions, test results, unresolved limits, recovery evidence, and benchmark data. P1 features must not delay the first complete P0 vertical slice.</w:t>
      </w:r>
    </w:p>
    <w:p>
      <w:pPr>
        <w:pStyle w:val="Heading1"/>
        <w:pageBreakBefore/>
        <w:widowControl/>
      </w:pPr>
      <w:r>
        <w:t>Traceability and technical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00" w:type="dxa"/>
          <w:right w:w="100" w:type="dxa"/>
        </w:tblCellMar>
      </w:tblPr>
      <w:tblGrid>
        <w:gridCol w:w="2880"/>
        <w:gridCol w:w="7056"/>
      </w:tblGrid>
      <w:tr>
        <w:trPr>
          <w:cantSplit/>
          <w:tblHeader/>
        </w:trPr>
        <w:tc>
          <w:tcPr>
            <w:tcW w:type="dxa" w:w="2880"/>
            <w:vAlign w:val="center"/>
            <w:shd w:fill="E8EDF2"/>
          </w:tcPr>
          <w:p>
            <w:pPr>
              <w:keepNext/>
              <w:spacing w:after="40" w:line="252" w:lineRule="auto"/>
            </w:pPr>
            <w:r>
              <w:rPr>
                <w:b/>
                <w:sz w:val="18"/>
              </w:rPr>
              <w:t>PRD requirements</w:t>
            </w:r>
          </w:p>
        </w:tc>
        <w:tc>
          <w:tcPr>
            <w:tcW w:type="dxa" w:w="7056"/>
            <w:vAlign w:val="center"/>
            <w:shd w:fill="E8EDF2"/>
          </w:tcPr>
          <w:p>
            <w:pPr>
              <w:keepNext/>
              <w:spacing w:after="40" w:line="252" w:lineRule="auto"/>
            </w:pPr>
            <w:r>
              <w:rPr>
                <w:b/>
                <w:sz w:val="18"/>
              </w:rPr>
              <w:t>Technical coverage</w:t>
            </w:r>
          </w:p>
        </w:tc>
      </w:tr>
      <w:tr>
        <w:trPr>
          <w:cantSplit/>
        </w:trPr>
        <w:tc>
          <w:tcPr>
            <w:tcW w:type="dxa" w:w="2880"/>
            <w:vAlign w:val="center"/>
          </w:tcPr>
          <w:p>
            <w:pPr>
              <w:spacing w:after="40" w:line="252" w:lineRule="auto"/>
            </w:pPr>
            <w:r>
              <w:rPr>
                <w:b w:val="0"/>
                <w:sz w:val="18"/>
              </w:rPr>
              <w:t>FR-001–003</w:t>
            </w:r>
          </w:p>
        </w:tc>
        <w:tc>
          <w:tcPr>
            <w:tcW w:type="dxa" w:w="7056"/>
            <w:vAlign w:val="center"/>
          </w:tcPr>
          <w:p>
            <w:pPr>
              <w:spacing w:after="40" w:line="252" w:lineRule="auto"/>
            </w:pPr>
            <w:r>
              <w:rPr>
                <w:b w:val="0"/>
                <w:sz w:val="18"/>
              </w:rPr>
              <w:t>TR-001, 020–023, 050, 075; project/task/session identity and associations.</w:t>
            </w:r>
          </w:p>
        </w:tc>
      </w:tr>
      <w:tr>
        <w:trPr>
          <w:cantSplit/>
        </w:trPr>
        <w:tc>
          <w:tcPr>
            <w:tcW w:type="dxa" w:w="2880"/>
            <w:vAlign w:val="center"/>
          </w:tcPr>
          <w:p>
            <w:pPr>
              <w:spacing w:after="40" w:line="252" w:lineRule="auto"/>
            </w:pPr>
            <w:r>
              <w:rPr>
                <w:b w:val="0"/>
                <w:sz w:val="18"/>
              </w:rPr>
              <w:t>FR-010–018</w:t>
            </w:r>
          </w:p>
        </w:tc>
        <w:tc>
          <w:tcPr>
            <w:tcW w:type="dxa" w:w="7056"/>
            <w:vAlign w:val="center"/>
          </w:tcPr>
          <w:p>
            <w:pPr>
              <w:spacing w:after="40" w:line="252" w:lineRule="auto"/>
            </w:pPr>
            <w:r>
              <w:rPr>
                <w:b w:val="0"/>
                <w:sz w:val="18"/>
              </w:rPr>
              <w:t>TR-002, 006, 010–012, 020, 030–035, 040–046; discovery, supervisor, state, native controls, permission settings, capability reports.</w:t>
            </w:r>
          </w:p>
        </w:tc>
      </w:tr>
      <w:tr>
        <w:trPr>
          <w:cantSplit/>
        </w:trPr>
        <w:tc>
          <w:tcPr>
            <w:tcW w:type="dxa" w:w="2880"/>
            <w:vAlign w:val="center"/>
          </w:tcPr>
          <w:p>
            <w:pPr>
              <w:spacing w:after="40" w:line="252" w:lineRule="auto"/>
            </w:pPr>
            <w:r>
              <w:rPr>
                <w:b w:val="0"/>
                <w:sz w:val="18"/>
              </w:rPr>
              <w:t>FR-020–025</w:t>
            </w:r>
          </w:p>
        </w:tc>
        <w:tc>
          <w:tcPr>
            <w:tcW w:type="dxa" w:w="7056"/>
            <w:vAlign w:val="center"/>
          </w:tcPr>
          <w:p>
            <w:pPr>
              <w:spacing w:after="40" w:line="252" w:lineRule="auto"/>
            </w:pPr>
            <w:r>
              <w:rPr>
                <w:b w:val="0"/>
                <w:sz w:val="18"/>
              </w:rPr>
              <w:t>TR-021–022, 060–069; findings, publication path, grants, selected packets, excerpt bounds, synthesis, lineage (FR-025 P1).</w:t>
            </w:r>
          </w:p>
        </w:tc>
      </w:tr>
      <w:tr>
        <w:trPr>
          <w:cantSplit/>
        </w:trPr>
        <w:tc>
          <w:tcPr>
            <w:tcW w:type="dxa" w:w="2880"/>
            <w:vAlign w:val="center"/>
          </w:tcPr>
          <w:p>
            <w:pPr>
              <w:spacing w:after="40" w:line="252" w:lineRule="auto"/>
            </w:pPr>
            <w:r>
              <w:rPr>
                <w:b w:val="0"/>
                <w:sz w:val="18"/>
              </w:rPr>
              <w:t>FR-030–032 and 034–037</w:t>
            </w:r>
          </w:p>
        </w:tc>
        <w:tc>
          <w:tcPr>
            <w:tcW w:type="dxa" w:w="7056"/>
            <w:vAlign w:val="center"/>
          </w:tcPr>
          <w:p>
            <w:pPr>
              <w:spacing w:after="40" w:line="252" w:lineRule="auto"/>
            </w:pPr>
            <w:r>
              <w:rPr>
                <w:b w:val="0"/>
                <w:sz w:val="18"/>
              </w:rPr>
              <w:t>TR-001, 006, 030–035, 040–046, 050–053, 064; dashboard, attention, preview, independence, restart continuity, native access.</w:t>
            </w:r>
          </w:p>
        </w:tc>
      </w:tr>
      <w:tr>
        <w:trPr>
          <w:cantSplit/>
        </w:trPr>
        <w:tc>
          <w:tcPr>
            <w:tcW w:type="dxa" w:w="2880"/>
            <w:vAlign w:val="center"/>
          </w:tcPr>
          <w:p>
            <w:pPr>
              <w:spacing w:after="40" w:line="252" w:lineRule="auto"/>
            </w:pPr>
            <w:r>
              <w:rPr>
                <w:b w:val="0"/>
                <w:sz w:val="18"/>
              </w:rPr>
              <w:t>FR-033 P1</w:t>
            </w:r>
          </w:p>
        </w:tc>
        <w:tc>
          <w:tcPr>
            <w:tcW w:type="dxa" w:w="7056"/>
            <w:vAlign w:val="center"/>
          </w:tcPr>
          <w:p>
            <w:pPr>
              <w:spacing w:after="40" w:line="252" w:lineRule="auto"/>
            </w:pPr>
            <w:r>
              <w:rPr>
                <w:b w:val="0"/>
                <w:sz w:val="18"/>
              </w:rPr>
              <w:t>Optional notifications use persisted attention/run events with safe payloads and user settings.</w:t>
            </w:r>
          </w:p>
        </w:tc>
      </w:tr>
      <w:tr>
        <w:trPr>
          <w:cantSplit/>
        </w:trPr>
        <w:tc>
          <w:tcPr>
            <w:tcW w:type="dxa" w:w="2880"/>
            <w:vAlign w:val="center"/>
          </w:tcPr>
          <w:p>
            <w:pPr>
              <w:spacing w:after="40" w:line="252" w:lineRule="auto"/>
            </w:pPr>
            <w:r>
              <w:rPr>
                <w:b w:val="0"/>
                <w:sz w:val="18"/>
              </w:rPr>
              <w:t>FR-040–043</w:t>
            </w:r>
          </w:p>
        </w:tc>
        <w:tc>
          <w:tcPr>
            <w:tcW w:type="dxa" w:w="7056"/>
            <w:vAlign w:val="center"/>
          </w:tcPr>
          <w:p>
            <w:pPr>
              <w:spacing w:after="40" w:line="252" w:lineRule="auto"/>
            </w:pPr>
            <w:r>
              <w:rPr>
                <w:b w:val="0"/>
                <w:sz w:val="18"/>
              </w:rPr>
              <w:t>TR-004, 020–023, 031–035, 070, 073–074, 076, 080–084; incremental history, index-time secret masking, FTS, archiving, retention, backup and export.</w:t>
            </w:r>
          </w:p>
        </w:tc>
      </w:tr>
      <w:tr>
        <w:trPr>
          <w:cantSplit/>
        </w:trPr>
        <w:tc>
          <w:tcPr>
            <w:tcW w:type="dxa" w:w="2880"/>
            <w:vAlign w:val="center"/>
          </w:tcPr>
          <w:p>
            <w:pPr>
              <w:spacing w:after="40" w:line="252" w:lineRule="auto"/>
            </w:pPr>
            <w:r>
              <w:rPr>
                <w:b w:val="0"/>
                <w:sz w:val="18"/>
              </w:rPr>
              <w:t>FR-050–051 P1</w:t>
            </w:r>
          </w:p>
        </w:tc>
        <w:tc>
          <w:tcPr>
            <w:tcW w:type="dxa" w:w="7056"/>
            <w:vAlign w:val="center"/>
          </w:tcPr>
          <w:p>
            <w:pPr>
              <w:spacing w:after="40" w:line="252" w:lineRule="auto"/>
            </w:pPr>
            <w:r>
              <w:rPr>
                <w:b w:val="0"/>
                <w:sz w:val="18"/>
              </w:rPr>
              <w:t>TR-070, 072, 075; Git metadata refresh and explicit isolated worktrees.</w:t>
            </w:r>
          </w:p>
        </w:tc>
      </w:tr>
      <w:tr>
        <w:trPr>
          <w:cantSplit/>
        </w:trPr>
        <w:tc>
          <w:tcPr>
            <w:tcW w:type="dxa" w:w="2880"/>
            <w:vAlign w:val="center"/>
          </w:tcPr>
          <w:p>
            <w:pPr>
              <w:spacing w:after="40" w:line="252" w:lineRule="auto"/>
            </w:pPr>
            <w:r>
              <w:rPr>
                <w:b w:val="0"/>
                <w:sz w:val="18"/>
              </w:rPr>
              <w:t>NFR-01–11</w:t>
            </w:r>
          </w:p>
        </w:tc>
        <w:tc>
          <w:tcPr>
            <w:tcW w:type="dxa" w:w="7056"/>
            <w:vAlign w:val="center"/>
          </w:tcPr>
          <w:p>
            <w:pPr>
              <w:spacing w:after="40" w:line="252" w:lineRule="auto"/>
            </w:pPr>
            <w:r>
              <w:rPr>
                <w:b w:val="0"/>
                <w:sz w:val="18"/>
              </w:rPr>
              <w:t>TR-004, 030–035, 051–052, 070–084, 090–091; safety, speed, resource use and verification.</w:t>
            </w:r>
          </w:p>
        </w:tc>
      </w:tr>
    </w:tbl>
    <w:p>
      <w:pPr>
        <w:widowControl/>
        <w:spacing w:after="40" w:line="40" w:lineRule="exact" w:before="0"/>
      </w:pPr>
    </w:p>
    <w:p>
      <w:pPr>
        <w:pStyle w:val="Heading2"/>
        <w:widowControl/>
      </w:pPr>
      <w:r>
        <w:t>Decisions to validate before broad implementation</w:t>
      </w:r>
    </w:p>
    <w:p>
      <w:pPr>
        <w:pStyle w:val="ListBullet"/>
        <w:widowControl/>
      </w:pPr>
      <w:r>
        <w:t>Adapter transports and compatible account flows; terminal mode per adapter; each transport under the session supervisor; exact supported versions; live or observed-only level per runtime.</w:t>
      </w:r>
    </w:p>
    <w:p>
      <w:pPr>
        <w:pStyle w:val="ListBullet"/>
        <w:widowControl/>
      </w:pPr>
      <w:r>
        <w:t>Payload limits; the export layout for optional .robin task copies. Storage default and task switching are resolved in TR-020 and TR-021. Worktrees are not needed for the first accepted workflow and remain P1.</w:t>
      </w:r>
    </w:p>
    <w:p>
      <w:pPr>
        <w:pStyle w:val="ListBullet"/>
        <w:widowControl/>
      </w:pPr>
      <w:r>
        <w:t>Finding publication path per runtime (TR-067); packaging of any adapter sidecar; reference performance dataset.</w:t>
      </w:r>
    </w:p>
    <w:p>
      <w:pPr>
        <w:pStyle w:val="Heading2"/>
        <w:widowControl/>
      </w:pPr>
      <w:r>
        <w:t>Delivery sequence</w:t>
      </w:r>
    </w:p>
    <w:p>
      <w:pPr>
        <w:widowControl/>
      </w:pPr>
      <w:r>
        <w:t>Phase 0 validates transports. Phase 1 proves one complete managed session with durable controls and live activity. Phase 2 adds shared tasks, all adapters, attention, hook installers, and recovery. Phase 3 adds findings, preview, lineage, and synthesis. Phase 4 completes history search, packaging, benchmarks, security, and accessibility checks. Each phase exits on demonstrated behavior, not screen count.</w:t>
      </w:r>
    </w:p>
    <w:p>
      <w:pPr>
        <w:pStyle w:val="Heading2"/>
        <w:widowControl/>
      </w:pPr>
      <w:r>
        <w:t>Source baseline and integration references</w:t>
      </w:r>
    </w:p>
    <w:p>
      <w:pPr>
        <w:widowControl/>
      </w:pPr>
      <w:r>
        <w:t>Robin PRD v0.5, October 15, 2026, is the product authority. This technical specification version 0.4 adds proposed engineering detail. Public interfaces below were reviewed on October 14, 2026; validate exact installed versions before implementation.</w:t>
      </w:r>
    </w:p>
    <w:p>
      <w:pPr>
        <w:widowControl/>
      </w:pPr>
      <w:r>
        <w:t>OpenAI Codex app-server documentation</w:t>
        <w:br/>
        <w:t>https://developers.openai.com/codex/app-server/</w:t>
      </w:r>
    </w:p>
    <w:p>
      <w:pPr>
        <w:widowControl/>
      </w:pPr>
      <w:r>
        <w:t>Anthropic Claude Agent SDK overview</w:t>
        <w:br/>
        <w:t>https://code.claude.com/docs/en/agent-sdk/overview</w:t>
      </w:r>
    </w:p>
    <w:p>
      <w:pPr>
        <w:widowControl/>
      </w:pPr>
      <w:r>
        <w:t>Pi RPC mode and linked protocol references</w:t>
        <w:br/>
        <w:t>https://github.com/earendil-works/pi/blob/main/packages/coding-agent/docs/rpc.md</w:t>
      </w:r>
    </w:p>
    <w:p>
      <w:pPr>
        <w:widowControl/>
      </w:pPr>
      <w:r>
        <w:t>Pi embedding SDK (sidecar option)</w:t>
        <w:br/>
        <w:t>https://github.com/earendil-works/pi/blob/main/packages/coding-agent/docs/sdk.md</w:t>
      </w:r>
    </w:p>
    <w:sectPr w:rsidR="00FC693F" w:rsidRPr="0006063C" w:rsidSect="00034616">
      <w:foot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Robin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DejaVu Sans" w:hAnsi="DejaVu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 Technical Requirements</dc:title>
  <dc:subject>Implementation specification for the Robin local agent workspace</dc:subject>
  <dc:creator>Noela Jean Bunag</dc:creator>
  <cp:keywords/>
  <dc:description>generated by python-docx</dc:description>
  <cp:lastModifiedBy/>
  <cp:revision>1</cp:revision>
  <dcterms:created xsi:type="dcterms:W3CDTF">2013-12-23T23:15:00Z</dcterms:created>
  <dcterms:modified xsi:type="dcterms:W3CDTF">2013-12-23T23:15:00Z</dcterms:modified>
  <cp:category/>
</cp:coreProperties>
</file>