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Robin Technical Requirements</w:t>
      </w:r>
    </w:p>
    <w:p>
      <w:pPr>
        <w:pStyle w:val="Subtitle"/>
        <w:widowControl/>
      </w:pPr>
      <w:r>
        <w:t>Implementation specification</w:t>
      </w:r>
    </w:p>
    <w:p>
      <w:pPr>
        <w:widowControl/>
      </w:pPr>
      <w:r>
        <w:t>Version 0.1  |  October 14, 2026  |  Owner Noela Jean Bunag</w:t>
      </w:r>
    </w:p>
    <w:p>
      <w:pPr>
        <w:widowControl/>
      </w:pPr>
      <w:r>
        <w:t>Product baseline Robin PRD v0.2  |  Audience engineering, product, and design</w:t>
      </w:r>
    </w:p>
    <w:p>
      <w:pPr>
        <w:widowControl/>
      </w:pPr>
      <w:r>
        <w:t>Build Robin as a local service and browser workspace that coordinates existing coding runtimes. The service owns projects, tasks, session associations, durable activity, user actions, search, and approved context exchange. Claude Code, Codex, and Pi own model execution, tools, native session history, and permission enforcement.</w:t>
      </w:r>
    </w:p>
    <w:p>
      <w:pPr>
        <w:widowControl/>
      </w:pPr>
      <w:r>
        <w:t>This document defines the proposed engineering contracts and release evidence for PRD v0.2. Requirements using must are release obligations. Stack choices, numeric guardrails, API shapes, and storage defaults introduced here are proposed design decisions for implementation review; integration support must be proved against installed runtime versions.</w:t>
      </w:r>
    </w:p>
    <w:p>
      <w:pPr>
        <w:pStyle w:val="Heading2"/>
        <w:widowControl/>
      </w:pPr>
      <w:r>
        <w:t>Release boundary</w:t>
      </w:r>
    </w:p>
    <w:p>
      <w:pPr>
        <w:pStyle w:val="ListBullet"/>
        <w:widowControl/>
      </w:pPr>
      <w:r>
        <w:t>MVP supports one developer and one execution host on macOS and Linux, with a local web dashboard, CLI, native terminal access, and all three runtime adapters.</w:t>
      </w:r>
    </w:p>
    <w:p>
      <w:pPr>
        <w:pStyle w:val="ListBullet"/>
        <w:widowControl/>
      </w:pPr>
      <w:r>
        <w:t>P0 covers managed execution, historical discovery, live activity, attention requests, selected findings exchange, comparison, synthesis, search, and recovery. P1 covers optional worktrees, richer Git context, and notifications.</w:t>
      </w:r>
    </w:p>
    <w:p>
      <w:pPr>
        <w:pStyle w:val="ListBullet"/>
        <w:widowControl/>
      </w:pPr>
      <w:r>
        <w:t>Automatic orchestration, multi-host aggregation, cross-harness session conversion, 3D visualization, and a Robin-native model loop require separate scope.</w:t>
      </w:r>
    </w:p>
    <w:p>
      <w:pPr>
        <w:pStyle w:val="Heading2"/>
        <w:widowControl/>
      </w:pPr>
      <w:r>
        <w:t>Document map</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864"/>
        <w:gridCol w:w="9072"/>
      </w:tblGrid>
      <w:tr>
        <w:trPr>
          <w:cantSplit/>
          <w:tblHeader/>
        </w:trPr>
        <w:tc>
          <w:tcPr>
            <w:tcW w:type="dxa" w:w="864"/>
            <w:vAlign w:val="center"/>
            <w:shd w:fill="E8EDF2"/>
          </w:tcPr>
          <w:p>
            <w:pPr>
              <w:keepNext/>
              <w:spacing w:after="40" w:line="252" w:lineRule="auto"/>
            </w:pPr>
            <w:r>
              <w:rPr>
                <w:b/>
                <w:sz w:val="18"/>
              </w:rPr>
              <w:t>Page</w:t>
            </w:r>
          </w:p>
        </w:tc>
        <w:tc>
          <w:tcPr>
            <w:tcW w:type="dxa" w:w="9072"/>
            <w:vAlign w:val="center"/>
            <w:shd w:fill="E8EDF2"/>
          </w:tcPr>
          <w:p>
            <w:pPr>
              <w:keepNext/>
              <w:spacing w:after="40" w:line="252" w:lineRule="auto"/>
            </w:pPr>
            <w:r>
              <w:rPr>
                <w:b/>
                <w:sz w:val="18"/>
              </w:rPr>
              <w:t>Engineering topic</w:t>
            </w:r>
          </w:p>
        </w:tc>
      </w:tr>
      <w:tr>
        <w:trPr>
          <w:cantSplit/>
        </w:trPr>
        <w:tc>
          <w:tcPr>
            <w:tcW w:type="dxa" w:w="864"/>
            <w:vAlign w:val="center"/>
          </w:tcPr>
          <w:p>
            <w:pPr>
              <w:spacing w:after="40" w:line="252" w:lineRule="auto"/>
            </w:pPr>
            <w:r>
              <w:rPr>
                <w:b w:val="0"/>
                <w:sz w:val="18"/>
              </w:rPr>
              <w:t>2</w:t>
            </w:r>
          </w:p>
        </w:tc>
        <w:tc>
          <w:tcPr>
            <w:tcW w:type="dxa" w:w="9072"/>
            <w:vAlign w:val="center"/>
          </w:tcPr>
          <w:p>
            <w:pPr>
              <w:spacing w:after="40" w:line="252" w:lineRule="auto"/>
            </w:pPr>
            <w:r>
              <w:rPr>
                <w:b w:val="0"/>
                <w:sz w:val="18"/>
              </w:rPr>
              <w:t>Architecture and component boundaries</w:t>
            </w:r>
          </w:p>
        </w:tc>
      </w:tr>
      <w:tr>
        <w:trPr>
          <w:cantSplit/>
        </w:trPr>
        <w:tc>
          <w:tcPr>
            <w:tcW w:type="dxa" w:w="864"/>
            <w:vAlign w:val="center"/>
          </w:tcPr>
          <w:p>
            <w:pPr>
              <w:spacing w:after="40" w:line="252" w:lineRule="auto"/>
            </w:pPr>
            <w:r>
              <w:rPr>
                <w:b w:val="0"/>
                <w:sz w:val="18"/>
              </w:rPr>
              <w:t>3</w:t>
            </w:r>
          </w:p>
        </w:tc>
        <w:tc>
          <w:tcPr>
            <w:tcW w:type="dxa" w:w="9072"/>
            <w:vAlign w:val="center"/>
          </w:tcPr>
          <w:p>
            <w:pPr>
              <w:spacing w:after="40" w:line="252" w:lineRule="auto"/>
            </w:pPr>
            <w:r>
              <w:rPr>
                <w:b w:val="0"/>
                <w:sz w:val="18"/>
              </w:rPr>
              <w:t>Adapter contracts and integration validation</w:t>
            </w:r>
          </w:p>
        </w:tc>
      </w:tr>
      <w:tr>
        <w:trPr>
          <w:cantSplit/>
        </w:trPr>
        <w:tc>
          <w:tcPr>
            <w:tcW w:type="dxa" w:w="864"/>
            <w:vAlign w:val="center"/>
          </w:tcPr>
          <w:p>
            <w:pPr>
              <w:spacing w:after="40" w:line="252" w:lineRule="auto"/>
            </w:pPr>
            <w:r>
              <w:rPr>
                <w:b w:val="0"/>
                <w:sz w:val="18"/>
              </w:rPr>
              <w:t>4</w:t>
            </w:r>
          </w:p>
        </w:tc>
        <w:tc>
          <w:tcPr>
            <w:tcW w:type="dxa" w:w="9072"/>
            <w:vAlign w:val="center"/>
          </w:tcPr>
          <w:p>
            <w:pPr>
              <w:spacing w:after="40" w:line="252" w:lineRule="auto"/>
            </w:pPr>
            <w:r>
              <w:rPr>
                <w:b w:val="0"/>
                <w:sz w:val="18"/>
              </w:rPr>
              <w:t>Persistent entities and artifact ownership</w:t>
            </w:r>
          </w:p>
        </w:tc>
      </w:tr>
      <w:tr>
        <w:trPr>
          <w:cantSplit/>
        </w:trPr>
        <w:tc>
          <w:tcPr>
            <w:tcW w:type="dxa" w:w="864"/>
            <w:vAlign w:val="center"/>
          </w:tcPr>
          <w:p>
            <w:pPr>
              <w:spacing w:after="40" w:line="252" w:lineRule="auto"/>
            </w:pPr>
            <w:r>
              <w:rPr>
                <w:b w:val="0"/>
                <w:sz w:val="18"/>
              </w:rPr>
              <w:t>5</w:t>
            </w:r>
          </w:p>
        </w:tc>
        <w:tc>
          <w:tcPr>
            <w:tcW w:type="dxa" w:w="9072"/>
            <w:vAlign w:val="center"/>
          </w:tcPr>
          <w:p>
            <w:pPr>
              <w:spacing w:after="40" w:line="252" w:lineRule="auto"/>
            </w:pPr>
            <w:r>
              <w:rPr>
                <w:b w:val="0"/>
                <w:sz w:val="18"/>
              </w:rPr>
              <w:t>Event ingestion and dashboard synchronization</w:t>
            </w:r>
          </w:p>
        </w:tc>
      </w:tr>
      <w:tr>
        <w:trPr>
          <w:cantSplit/>
        </w:trPr>
        <w:tc>
          <w:tcPr>
            <w:tcW w:type="dxa" w:w="864"/>
            <w:vAlign w:val="center"/>
          </w:tcPr>
          <w:p>
            <w:pPr>
              <w:spacing w:after="40" w:line="252" w:lineRule="auto"/>
            </w:pPr>
            <w:r>
              <w:rPr>
                <w:b w:val="0"/>
                <w:sz w:val="18"/>
              </w:rPr>
              <w:t>6</w:t>
            </w:r>
          </w:p>
        </w:tc>
        <w:tc>
          <w:tcPr>
            <w:tcW w:type="dxa" w:w="9072"/>
            <w:vAlign w:val="center"/>
          </w:tcPr>
          <w:p>
            <w:pPr>
              <w:spacing w:after="40" w:line="252" w:lineRule="auto"/>
            </w:pPr>
            <w:r>
              <w:rPr>
                <w:b w:val="0"/>
                <w:sz w:val="18"/>
              </w:rPr>
              <w:t>Session state and control semantics</w:t>
            </w:r>
          </w:p>
        </w:tc>
      </w:tr>
      <w:tr>
        <w:trPr>
          <w:cantSplit/>
        </w:trPr>
        <w:tc>
          <w:tcPr>
            <w:tcW w:type="dxa" w:w="864"/>
            <w:vAlign w:val="center"/>
          </w:tcPr>
          <w:p>
            <w:pPr>
              <w:spacing w:after="40" w:line="252" w:lineRule="auto"/>
            </w:pPr>
            <w:r>
              <w:rPr>
                <w:b w:val="0"/>
                <w:sz w:val="18"/>
              </w:rPr>
              <w:t>7</w:t>
            </w:r>
          </w:p>
        </w:tc>
        <w:tc>
          <w:tcPr>
            <w:tcW w:type="dxa" w:w="9072"/>
            <w:vAlign w:val="center"/>
          </w:tcPr>
          <w:p>
            <w:pPr>
              <w:spacing w:after="40" w:line="252" w:lineRule="auto"/>
            </w:pPr>
            <w:r>
              <w:rPr>
                <w:b w:val="0"/>
                <w:sz w:val="18"/>
              </w:rPr>
              <w:t>HTTP API and browser authentication</w:t>
            </w:r>
          </w:p>
        </w:tc>
      </w:tr>
      <w:tr>
        <w:trPr>
          <w:cantSplit/>
        </w:trPr>
        <w:tc>
          <w:tcPr>
            <w:tcW w:type="dxa" w:w="864"/>
            <w:vAlign w:val="center"/>
          </w:tcPr>
          <w:p>
            <w:pPr>
              <w:spacing w:after="40" w:line="252" w:lineRule="auto"/>
            </w:pPr>
            <w:r>
              <w:rPr>
                <w:b w:val="0"/>
                <w:sz w:val="18"/>
              </w:rPr>
              <w:t>8</w:t>
            </w:r>
          </w:p>
        </w:tc>
        <w:tc>
          <w:tcPr>
            <w:tcW w:type="dxa" w:w="9072"/>
            <w:vAlign w:val="center"/>
          </w:tcPr>
          <w:p>
            <w:pPr>
              <w:spacing w:after="40" w:line="252" w:lineRule="auto"/>
            </w:pPr>
            <w:r>
              <w:rPr>
                <w:b w:val="0"/>
                <w:sz w:val="18"/>
              </w:rPr>
              <w:t>Findings and context transfer</w:t>
            </w:r>
          </w:p>
        </w:tc>
      </w:tr>
      <w:tr>
        <w:trPr>
          <w:cantSplit/>
        </w:trPr>
        <w:tc>
          <w:tcPr>
            <w:tcW w:type="dxa" w:w="864"/>
            <w:vAlign w:val="center"/>
          </w:tcPr>
          <w:p>
            <w:pPr>
              <w:spacing w:after="40" w:line="252" w:lineRule="auto"/>
            </w:pPr>
            <w:r>
              <w:rPr>
                <w:b w:val="0"/>
                <w:sz w:val="18"/>
              </w:rPr>
              <w:t>9</w:t>
            </w:r>
          </w:p>
        </w:tc>
        <w:tc>
          <w:tcPr>
            <w:tcW w:type="dxa" w:w="9072"/>
            <w:vAlign w:val="center"/>
          </w:tcPr>
          <w:p>
            <w:pPr>
              <w:spacing w:after="40" w:line="252" w:lineRule="auto"/>
            </w:pPr>
            <w:r>
              <w:rPr>
                <w:b w:val="0"/>
                <w:sz w:val="18"/>
              </w:rPr>
              <w:t>Security and local operations</w:t>
            </w:r>
          </w:p>
        </w:tc>
      </w:tr>
      <w:tr>
        <w:trPr>
          <w:cantSplit/>
        </w:trPr>
        <w:tc>
          <w:tcPr>
            <w:tcW w:type="dxa" w:w="864"/>
            <w:vAlign w:val="center"/>
          </w:tcPr>
          <w:p>
            <w:pPr>
              <w:spacing w:after="40" w:line="252" w:lineRule="auto"/>
            </w:pPr>
            <w:r>
              <w:rPr>
                <w:b w:val="0"/>
                <w:sz w:val="18"/>
              </w:rPr>
              <w:t>10</w:t>
            </w:r>
          </w:p>
        </w:tc>
        <w:tc>
          <w:tcPr>
            <w:tcW w:type="dxa" w:w="9072"/>
            <w:vAlign w:val="center"/>
          </w:tcPr>
          <w:p>
            <w:pPr>
              <w:spacing w:after="40" w:line="252" w:lineRule="auto"/>
            </w:pPr>
            <w:r>
              <w:rPr>
                <w:b w:val="0"/>
                <w:sz w:val="18"/>
              </w:rPr>
              <w:t>Performance and retention</w:t>
            </w:r>
          </w:p>
        </w:tc>
      </w:tr>
      <w:tr>
        <w:trPr>
          <w:cantSplit/>
        </w:trPr>
        <w:tc>
          <w:tcPr>
            <w:tcW w:type="dxa" w:w="864"/>
            <w:vAlign w:val="center"/>
          </w:tcPr>
          <w:p>
            <w:pPr>
              <w:spacing w:after="40" w:line="252" w:lineRule="auto"/>
            </w:pPr>
            <w:r>
              <w:rPr>
                <w:b w:val="0"/>
                <w:sz w:val="18"/>
              </w:rPr>
              <w:t>11</w:t>
            </w:r>
          </w:p>
        </w:tc>
        <w:tc>
          <w:tcPr>
            <w:tcW w:type="dxa" w:w="9072"/>
            <w:vAlign w:val="center"/>
          </w:tcPr>
          <w:p>
            <w:pPr>
              <w:spacing w:after="40" w:line="252" w:lineRule="auto"/>
            </w:pPr>
            <w:r>
              <w:rPr>
                <w:b w:val="0"/>
                <w:sz w:val="18"/>
              </w:rPr>
              <w:t>Verification and release gates</w:t>
            </w:r>
          </w:p>
        </w:tc>
      </w:tr>
      <w:tr>
        <w:trPr>
          <w:cantSplit/>
        </w:trPr>
        <w:tc>
          <w:tcPr>
            <w:tcW w:type="dxa" w:w="864"/>
            <w:vAlign w:val="center"/>
          </w:tcPr>
          <w:p>
            <w:pPr>
              <w:spacing w:after="40" w:line="252" w:lineRule="auto"/>
            </w:pPr>
            <w:r>
              <w:rPr>
                <w:b w:val="0"/>
                <w:sz w:val="18"/>
              </w:rPr>
              <w:t>12</w:t>
            </w:r>
          </w:p>
        </w:tc>
        <w:tc>
          <w:tcPr>
            <w:tcW w:type="dxa" w:w="9072"/>
            <w:vAlign w:val="center"/>
          </w:tcPr>
          <w:p>
            <w:pPr>
              <w:spacing w:after="40" w:line="252" w:lineRule="auto"/>
            </w:pPr>
            <w:r>
              <w:rPr>
                <w:b w:val="0"/>
                <w:sz w:val="18"/>
              </w:rPr>
              <w:t>Traceability and technical decisions</w:t>
            </w:r>
          </w:p>
        </w:tc>
      </w:tr>
    </w:tbl>
    <w:p>
      <w:pPr>
        <w:widowControl/>
        <w:spacing w:after="40" w:line="40" w:lineRule="exact" w:before="0"/>
      </w:pPr>
    </w:p>
    <w:p>
      <w:pPr>
        <w:pStyle w:val="Heading1"/>
        <w:pageBreakBefore/>
        <w:widowControl/>
      </w:pPr>
      <w:r>
        <w:t>Architecture and component boundaries</w:t>
      </w:r>
    </w:p>
    <w:p>
      <w:pPr>
        <w:widowControl/>
      </w:pPr>
      <w:r>
        <w:t>TR-001  The browser and CLI must use the same application service. A single service instance owns each workspace database and session control ledger. Browser tabs are clients; closing or refreshing a tab does not terminate runtime work.</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088"/>
        <w:gridCol w:w="7848"/>
      </w:tblGrid>
      <w:tr>
        <w:trPr>
          <w:cantSplit/>
          <w:tblHeader/>
        </w:trPr>
        <w:tc>
          <w:tcPr>
            <w:tcW w:type="dxa" w:w="2088"/>
            <w:vAlign w:val="center"/>
            <w:shd w:fill="E8EDF2"/>
          </w:tcPr>
          <w:p>
            <w:pPr>
              <w:keepNext/>
              <w:spacing w:after="40" w:line="252" w:lineRule="auto"/>
            </w:pPr>
            <w:r>
              <w:rPr>
                <w:b/>
                <w:sz w:val="18"/>
              </w:rPr>
              <w:t>Component</w:t>
            </w:r>
          </w:p>
        </w:tc>
        <w:tc>
          <w:tcPr>
            <w:tcW w:type="dxa" w:w="7848"/>
            <w:vAlign w:val="center"/>
            <w:shd w:fill="E8EDF2"/>
          </w:tcPr>
          <w:p>
            <w:pPr>
              <w:keepNext/>
              <w:spacing w:after="40" w:line="252" w:lineRule="auto"/>
            </w:pPr>
            <w:r>
              <w:rPr>
                <w:b/>
                <w:sz w:val="18"/>
              </w:rPr>
              <w:t>Contract</w:t>
            </w:r>
          </w:p>
        </w:tc>
      </w:tr>
      <w:tr>
        <w:trPr>
          <w:cantSplit/>
        </w:trPr>
        <w:tc>
          <w:tcPr>
            <w:tcW w:type="dxa" w:w="2088"/>
            <w:vAlign w:val="center"/>
          </w:tcPr>
          <w:p>
            <w:pPr>
              <w:spacing w:after="40" w:line="252" w:lineRule="auto"/>
            </w:pPr>
            <w:r>
              <w:rPr>
                <w:b w:val="0"/>
                <w:sz w:val="18"/>
              </w:rPr>
              <w:t>Web client</w:t>
            </w:r>
          </w:p>
        </w:tc>
        <w:tc>
          <w:tcPr>
            <w:tcW w:type="dxa" w:w="7848"/>
            <w:vAlign w:val="center"/>
          </w:tcPr>
          <w:p>
            <w:pPr>
              <w:spacing w:after="40" w:line="252" w:lineRule="auto"/>
            </w:pPr>
            <w:r>
              <w:rPr>
                <w:b w:val="0"/>
                <w:sz w:val="18"/>
              </w:rPr>
              <w:t>React and TypeScript; task navigation, activity, attention, comparison, context preview, and capability-aware controls.</w:t>
            </w:r>
          </w:p>
        </w:tc>
      </w:tr>
      <w:tr>
        <w:trPr>
          <w:cantSplit/>
        </w:trPr>
        <w:tc>
          <w:tcPr>
            <w:tcW w:type="dxa" w:w="2088"/>
            <w:vAlign w:val="center"/>
          </w:tcPr>
          <w:p>
            <w:pPr>
              <w:spacing w:after="40" w:line="252" w:lineRule="auto"/>
            </w:pPr>
            <w:r>
              <w:rPr>
                <w:b w:val="0"/>
                <w:sz w:val="18"/>
              </w:rPr>
              <w:t>Application service</w:t>
            </w:r>
          </w:p>
        </w:tc>
        <w:tc>
          <w:tcPr>
            <w:tcW w:type="dxa" w:w="7848"/>
            <w:vAlign w:val="center"/>
          </w:tcPr>
          <w:p>
            <w:pPr>
              <w:spacing w:after="40" w:line="252" w:lineRule="auto"/>
            </w:pPr>
            <w:r>
              <w:rPr>
                <w:b w:val="0"/>
                <w:sz w:val="18"/>
              </w:rPr>
              <w:t>Python and FastAPI; validation, authentication, HTTP APIs, task policies, control ledger, and SSE replay.</w:t>
            </w:r>
          </w:p>
        </w:tc>
      </w:tr>
      <w:tr>
        <w:trPr>
          <w:cantSplit/>
        </w:trPr>
        <w:tc>
          <w:tcPr>
            <w:tcW w:type="dxa" w:w="2088"/>
            <w:vAlign w:val="center"/>
          </w:tcPr>
          <w:p>
            <w:pPr>
              <w:spacing w:after="40" w:line="252" w:lineRule="auto"/>
            </w:pPr>
            <w:r>
              <w:rPr>
                <w:b w:val="0"/>
                <w:sz w:val="18"/>
              </w:rPr>
              <w:t>Runtime manager</w:t>
            </w:r>
          </w:p>
        </w:tc>
        <w:tc>
          <w:tcPr>
            <w:tcW w:type="dxa" w:w="7848"/>
            <w:vAlign w:val="center"/>
          </w:tcPr>
          <w:p>
            <w:pPr>
              <w:spacing w:after="40" w:line="252" w:lineRule="auto"/>
            </w:pPr>
            <w:r>
              <w:rPr>
                <w:b w:val="0"/>
                <w:sz w:val="18"/>
              </w:rPr>
              <w:t>Supervises owned processes and connections, serializes session mutations, reconciles native identity, and reports survival limits.</w:t>
            </w:r>
          </w:p>
        </w:tc>
      </w:tr>
      <w:tr>
        <w:trPr>
          <w:cantSplit/>
        </w:trPr>
        <w:tc>
          <w:tcPr>
            <w:tcW w:type="dxa" w:w="2088"/>
            <w:vAlign w:val="center"/>
          </w:tcPr>
          <w:p>
            <w:pPr>
              <w:spacing w:after="40" w:line="252" w:lineRule="auto"/>
            </w:pPr>
            <w:r>
              <w:rPr>
                <w:b w:val="0"/>
                <w:sz w:val="18"/>
              </w:rPr>
              <w:t>Adapters</w:t>
            </w:r>
          </w:p>
        </w:tc>
        <w:tc>
          <w:tcPr>
            <w:tcW w:type="dxa" w:w="7848"/>
            <w:vAlign w:val="center"/>
          </w:tcPr>
          <w:p>
            <w:pPr>
              <w:spacing w:after="40" w:line="252" w:lineRule="auto"/>
            </w:pPr>
            <w:r>
              <w:rPr>
                <w:b w:val="0"/>
                <w:sz w:val="18"/>
              </w:rPr>
              <w:t>Discover and parse history; control managed sessions through supported transports; report versioned capabilities and event coverage.</w:t>
            </w:r>
          </w:p>
        </w:tc>
      </w:tr>
      <w:tr>
        <w:trPr>
          <w:cantSplit/>
        </w:trPr>
        <w:tc>
          <w:tcPr>
            <w:tcW w:type="dxa" w:w="2088"/>
            <w:vAlign w:val="center"/>
          </w:tcPr>
          <w:p>
            <w:pPr>
              <w:spacing w:after="40" w:line="252" w:lineRule="auto"/>
            </w:pPr>
            <w:r>
              <w:rPr>
                <w:b w:val="0"/>
                <w:sz w:val="18"/>
              </w:rPr>
              <w:t>Event and search services</w:t>
            </w:r>
          </w:p>
        </w:tc>
        <w:tc>
          <w:tcPr>
            <w:tcW w:type="dxa" w:w="7848"/>
            <w:vAlign w:val="center"/>
          </w:tcPr>
          <w:p>
            <w:pPr>
              <w:spacing w:after="40" w:line="252" w:lineRule="auto"/>
            </w:pPr>
            <w:r>
              <w:rPr>
                <w:b w:val="0"/>
                <w:sz w:val="18"/>
              </w:rPr>
              <w:t>Normalize, deduplicate, persist, project state, and index approved text using SQLite and FTS5.</w:t>
            </w:r>
          </w:p>
        </w:tc>
      </w:tr>
      <w:tr>
        <w:trPr>
          <w:cantSplit/>
        </w:trPr>
        <w:tc>
          <w:tcPr>
            <w:tcW w:type="dxa" w:w="2088"/>
            <w:vAlign w:val="center"/>
          </w:tcPr>
          <w:p>
            <w:pPr>
              <w:spacing w:after="40" w:line="252" w:lineRule="auto"/>
            </w:pPr>
            <w:r>
              <w:rPr>
                <w:b w:val="0"/>
                <w:sz w:val="18"/>
              </w:rPr>
              <w:t>Artifact service</w:t>
            </w:r>
          </w:p>
        </w:tc>
        <w:tc>
          <w:tcPr>
            <w:tcW w:type="dxa" w:w="7848"/>
            <w:vAlign w:val="center"/>
          </w:tcPr>
          <w:p>
            <w:pPr>
              <w:spacing w:after="40" w:line="252" w:lineRule="auto"/>
            </w:pPr>
            <w:r>
              <w:rPr>
                <w:b w:val="0"/>
                <w:sz w:val="18"/>
              </w:rPr>
              <w:t>Owns snapshots, finding versions, immutable context manifests, lineage, atomic file writes, and export.</w:t>
            </w:r>
          </w:p>
        </w:tc>
      </w:tr>
      <w:tr>
        <w:trPr>
          <w:cantSplit/>
        </w:trPr>
        <w:tc>
          <w:tcPr>
            <w:tcW w:type="dxa" w:w="2088"/>
            <w:vAlign w:val="center"/>
          </w:tcPr>
          <w:p>
            <w:pPr>
              <w:spacing w:after="40" w:line="252" w:lineRule="auto"/>
            </w:pPr>
            <w:r>
              <w:rPr>
                <w:b w:val="0"/>
                <w:sz w:val="18"/>
              </w:rPr>
              <w:t>Git and terminal services</w:t>
            </w:r>
          </w:p>
        </w:tc>
        <w:tc>
          <w:tcPr>
            <w:tcW w:type="dxa" w:w="7848"/>
            <w:vAlign w:val="center"/>
          </w:tcPr>
          <w:p>
            <w:pPr>
              <w:spacing w:after="40" w:line="252" w:lineRule="auto"/>
            </w:pPr>
            <w:r>
              <w:rPr>
                <w:b w:val="0"/>
                <w:sz w:val="18"/>
              </w:rPr>
              <w:t>Read repository metadata; invoke validated native interfaces; create worktrees only when explicitly selected.</w:t>
            </w:r>
          </w:p>
        </w:tc>
      </w:tr>
    </w:tbl>
    <w:p>
      <w:pPr>
        <w:widowControl/>
        <w:spacing w:after="40" w:line="40" w:lineRule="exact" w:before="0"/>
      </w:pPr>
    </w:p>
    <w:p>
      <w:pPr>
        <w:pStyle w:val="Heading2"/>
        <w:widowControl/>
      </w:pPr>
      <w:r>
        <w:t>Process and transport design</w:t>
      </w:r>
    </w:p>
    <w:p>
      <w:pPr>
        <w:widowControl/>
      </w:pPr>
      <w:r>
        <w:t>TR-002  Use a long-lived Python service with asynchronous adapter workers. Prefer subprocess stdio for documented process protocols; use a small Node sidecar only when a validated SDK requires it. Frame sidecar messages with a versioned typed protocol, correlation IDs, bounded payloads, and separate stderr diagnostics. No browser connection talks directly to a harness.</w:t>
      </w:r>
    </w:p>
    <w:p>
      <w:pPr>
        <w:widowControl/>
      </w:pPr>
      <w:r>
        <w:t>TR-003  Proposed dependencies are Python 3.12 or later, FastAPI, Pydantic, SQLAlchemy, Alembic, SQLite with FTS5, React, and TypeScript. Ship a prebuilt frontend so users do not need Node merely to view the dashboard. Resolve and lock exact dependency versions in the build; determine adapter-specific Node requirements during Phase 0.</w:t>
      </w:r>
    </w:p>
    <w:p>
      <w:pPr>
        <w:pStyle w:val="Heading2"/>
        <w:widowControl/>
      </w:pPr>
      <w:r>
        <w:t>Commit and projection boundary</w:t>
      </w:r>
    </w:p>
    <w:p>
      <w:pPr>
        <w:widowControl/>
      </w:pPr>
      <w:r>
        <w:t>TR-004  Commit a normalized event and its ingestion checkpoint atomically before notifying browser clients. Use one bounded writer queue, short transactions, foreign keys, and WAL mode. Projected session summaries and FTS indexes can be rebuilt from retained canonical records. A failed browser stream never rolls back runtime work.</w:t>
      </w:r>
    </w:p>
    <w:p>
      <w:pPr>
        <w:widowControl/>
      </w:pPr>
      <w:r>
        <w:t>TR-005  Avoid terminal screen scraping as the control contract. Native transcript indexing is read-only, and discovered files are never rewritten to inject messages. Unsupported features stay unavailable even if another runtime supports them.</w:t>
      </w:r>
    </w:p>
    <w:p>
      <w:pPr>
        <w:pStyle w:val="Heading1"/>
        <w:pageBreakBefore/>
        <w:widowControl/>
      </w:pPr>
      <w:r>
        <w:t>Adapter contracts and integration validation</w:t>
      </w:r>
    </w:p>
    <w:p>
      <w:pPr>
        <w:widowControl/>
      </w:pPr>
      <w:r>
        <w:t>TR-010  Implement a shared adapter interface and isolate protocol details by runtime. The identity key is host ID, runtime name, and native session ID; the Robin UUID is separate. A launch result must include the native identity, working directory, runtime version, ownership mode, and capability report.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232"/>
        <w:gridCol w:w="7704"/>
      </w:tblGrid>
      <w:tr>
        <w:trPr>
          <w:cantSplit/>
          <w:tblHeader/>
        </w:trPr>
        <w:tc>
          <w:tcPr>
            <w:tcW w:type="dxa" w:w="2232"/>
            <w:vAlign w:val="center"/>
            <w:shd w:fill="E8EDF2"/>
          </w:tcPr>
          <w:p>
            <w:pPr>
              <w:keepNext/>
              <w:spacing w:after="40" w:line="252" w:lineRule="auto"/>
            </w:pPr>
            <w:r>
              <w:rPr>
                <w:b/>
                <w:sz w:val="18"/>
              </w:rPr>
              <w:t>Operation</w:t>
            </w:r>
          </w:p>
        </w:tc>
        <w:tc>
          <w:tcPr>
            <w:tcW w:type="dxa" w:w="7704"/>
            <w:vAlign w:val="center"/>
            <w:shd w:fill="E8EDF2"/>
          </w:tcPr>
          <w:p>
            <w:pPr>
              <w:keepNext/>
              <w:spacing w:after="40" w:line="252" w:lineRule="auto"/>
            </w:pPr>
            <w:r>
              <w:rPr>
                <w:b/>
                <w:sz w:val="18"/>
              </w:rPr>
              <w:t>Required behavior</w:t>
            </w:r>
          </w:p>
        </w:tc>
      </w:tr>
      <w:tr>
        <w:trPr>
          <w:cantSplit/>
        </w:trPr>
        <w:tc>
          <w:tcPr>
            <w:tcW w:type="dxa" w:w="2232"/>
            <w:vAlign w:val="center"/>
          </w:tcPr>
          <w:p>
            <w:pPr>
              <w:spacing w:after="40" w:line="252" w:lineRule="auto"/>
            </w:pPr>
            <w:r>
              <w:rPr>
                <w:b w:val="0"/>
                <w:sz w:val="18"/>
              </w:rPr>
              <w:t>probe and capabilities</w:t>
            </w:r>
          </w:p>
        </w:tc>
        <w:tc>
          <w:tcPr>
            <w:tcW w:type="dxa" w:w="7704"/>
            <w:vAlign w:val="center"/>
          </w:tcPr>
          <w:p>
            <w:pPr>
              <w:spacing w:after="40" w:line="252" w:lineRule="auto"/>
            </w:pPr>
            <w:r>
              <w:rPr>
                <w:b w:val="0"/>
                <w:sz w:val="18"/>
              </w:rPr>
              <w:t>Return installed version, authentication readiness, tested range, control support, input modes, and event coverage.</w:t>
            </w:r>
          </w:p>
        </w:tc>
      </w:tr>
      <w:tr>
        <w:trPr>
          <w:cantSplit/>
        </w:trPr>
        <w:tc>
          <w:tcPr>
            <w:tcW w:type="dxa" w:w="2232"/>
            <w:vAlign w:val="center"/>
          </w:tcPr>
          <w:p>
            <w:pPr>
              <w:spacing w:after="40" w:line="252" w:lineRule="auto"/>
            </w:pPr>
            <w:r>
              <w:rPr>
                <w:b w:val="0"/>
                <w:sz w:val="18"/>
              </w:rPr>
              <w:t>discover and parse</w:t>
            </w:r>
          </w:p>
        </w:tc>
        <w:tc>
          <w:tcPr>
            <w:tcW w:type="dxa" w:w="7704"/>
            <w:vAlign w:val="center"/>
          </w:tcPr>
          <w:p>
            <w:pPr>
              <w:spacing w:after="40" w:line="252" w:lineRule="auto"/>
            </w:pPr>
            <w:r>
              <w:rPr>
                <w:b w:val="0"/>
                <w:sz w:val="18"/>
              </w:rPr>
              <w:t>Yield source metadata and normalized history without changing source files; tolerate unknown fields and incomplete tails.</w:t>
            </w:r>
          </w:p>
        </w:tc>
      </w:tr>
      <w:tr>
        <w:trPr>
          <w:cantSplit/>
        </w:trPr>
        <w:tc>
          <w:tcPr>
            <w:tcW w:type="dxa" w:w="2232"/>
            <w:vAlign w:val="center"/>
          </w:tcPr>
          <w:p>
            <w:pPr>
              <w:spacing w:after="40" w:line="252" w:lineRule="auto"/>
            </w:pPr>
            <w:r>
              <w:rPr>
                <w:b w:val="0"/>
                <w:sz w:val="18"/>
              </w:rPr>
              <w:t>launch and resume</w:t>
            </w:r>
          </w:p>
        </w:tc>
        <w:tc>
          <w:tcPr>
            <w:tcW w:type="dxa" w:w="7704"/>
            <w:vAlign w:val="center"/>
          </w:tcPr>
          <w:p>
            <w:pPr>
              <w:spacing w:after="40" w:line="252" w:lineRule="auto"/>
            </w:pPr>
            <w:r>
              <w:rPr>
                <w:b w:val="0"/>
                <w:sz w:val="18"/>
              </w:rPr>
              <w:t>Validate request and current state; preserve native identity; return a handle or a typed failure.</w:t>
            </w:r>
          </w:p>
        </w:tc>
      </w:tr>
      <w:tr>
        <w:trPr>
          <w:cantSplit/>
        </w:trPr>
        <w:tc>
          <w:tcPr>
            <w:tcW w:type="dxa" w:w="2232"/>
            <w:vAlign w:val="center"/>
          </w:tcPr>
          <w:p>
            <w:pPr>
              <w:spacing w:after="40" w:line="252" w:lineRule="auto"/>
            </w:pPr>
            <w:r>
              <w:rPr>
                <w:b w:val="0"/>
                <w:sz w:val="18"/>
              </w:rPr>
              <w:t>events and reconcile</w:t>
            </w:r>
          </w:p>
        </w:tc>
        <w:tc>
          <w:tcPr>
            <w:tcW w:type="dxa" w:w="7704"/>
            <w:vAlign w:val="center"/>
          </w:tcPr>
          <w:p>
            <w:pPr>
              <w:spacing w:after="40" w:line="252" w:lineRule="auto"/>
            </w:pPr>
            <w:r>
              <w:rPr>
                <w:b w:val="0"/>
                <w:sz w:val="18"/>
              </w:rPr>
              <w:t>Stream supported events; query or observe authoritative state after loss of connection.</w:t>
            </w:r>
          </w:p>
        </w:tc>
      </w:tr>
      <w:tr>
        <w:trPr>
          <w:cantSplit/>
        </w:trPr>
        <w:tc>
          <w:tcPr>
            <w:tcW w:type="dxa" w:w="2232"/>
            <w:vAlign w:val="center"/>
          </w:tcPr>
          <w:p>
            <w:pPr>
              <w:spacing w:after="40" w:line="252" w:lineRule="auto"/>
            </w:pPr>
            <w:r>
              <w:rPr>
                <w:b w:val="0"/>
                <w:sz w:val="18"/>
              </w:rPr>
              <w:t>send and interrupt</w:t>
            </w:r>
          </w:p>
        </w:tc>
        <w:tc>
          <w:tcPr>
            <w:tcW w:type="dxa" w:w="7704"/>
            <w:vAlign w:val="center"/>
          </w:tcPr>
          <w:p>
            <w:pPr>
              <w:spacing w:after="40" w:line="252" w:lineRule="auto"/>
            </w:pPr>
            <w:r>
              <w:rPr>
                <w:b w:val="0"/>
                <w:sz w:val="18"/>
              </w:rPr>
              <w:t>Accept action ID and supported input mode; report acknowledgement separately from work completion.</w:t>
            </w:r>
          </w:p>
        </w:tc>
      </w:tr>
      <w:tr>
        <w:trPr>
          <w:cantSplit/>
        </w:trPr>
        <w:tc>
          <w:tcPr>
            <w:tcW w:type="dxa" w:w="2232"/>
            <w:vAlign w:val="center"/>
          </w:tcPr>
          <w:p>
            <w:pPr>
              <w:spacing w:after="40" w:line="252" w:lineRule="auto"/>
            </w:pPr>
            <w:r>
              <w:rPr>
                <w:b w:val="0"/>
                <w:sz w:val="18"/>
              </w:rPr>
              <w:t>respond and terminal</w:t>
            </w:r>
          </w:p>
        </w:tc>
        <w:tc>
          <w:tcPr>
            <w:tcW w:type="dxa" w:w="7704"/>
            <w:vAlign w:val="center"/>
          </w:tcPr>
          <w:p>
            <w:pPr>
              <w:spacing w:after="40" w:line="252" w:lineRule="auto"/>
            </w:pPr>
            <w:r>
              <w:rPr>
                <w:b w:val="0"/>
                <w:sz w:val="18"/>
              </w:rPr>
              <w:t>Preserve native request IDs for replies; return validated terminal arguments or an explicit unsupported reason.</w:t>
            </w:r>
          </w:p>
        </w:tc>
      </w:tr>
    </w:tbl>
    <w:p>
      <w:pPr>
        <w:widowControl/>
        <w:spacing w:after="40" w:line="40" w:lineRule="exact" w:before="0"/>
      </w:pPr>
    </w:p>
    <w:p>
      <w:pPr>
        <w:pStyle w:val="Heading2"/>
        <w:widowControl/>
      </w:pPr>
      <w:r>
        <w:t>Integration candidates</w:t>
      </w:r>
    </w:p>
    <w:p>
      <w:pPr>
        <w:widowControl/>
      </w:pPr>
      <w:r>
        <w:t>Codex app-server is the preferred candidate for structured session and turn control. Its documented stdio protocol and generated schemas allow a version-specific client. Claude Agent SDK is the candidate for programmatic Claude Code execution. Pi RPC provides a process interface; use its SDK only if required capabilities justify a sidecar. These selections are implementation proposals, not a claim of compatible authentication or resume across every version. References appear on page 12.</w:t>
      </w:r>
    </w:p>
    <w:p>
      <w:pPr>
        <w:widowControl/>
      </w:pPr>
      <w:r>
        <w:t>TR-011  Capabilities must be computed for the installed adapter version and session mode. Report launch, native resume, new turn, queued follow-up, steering, interruption, request response, terminal access, and replay individually. Include unsupported reasons and coverage by event family. Externally discovered sessions default to observed mode until attachment is validated.</w:t>
      </w:r>
    </w:p>
    <w:p>
      <w:pPr>
        <w:pStyle w:val="Heading2"/>
        <w:widowControl/>
      </w:pPr>
      <w:r>
        <w:t>Phase 0 evidence</w:t>
      </w:r>
    </w:p>
    <w:p>
      <w:pPr>
        <w:pStyle w:val="ListBullet"/>
        <w:widowControl/>
      </w:pPr>
      <w:r>
        <w:t>Run each harness on both supported operating systems; record exact executable or SDK version, account method, launch arguments, session storage, and permission settings.</w:t>
      </w:r>
    </w:p>
    <w:p>
      <w:pPr>
        <w:pStyle w:val="ListBullet"/>
        <w:widowControl/>
      </w:pPr>
      <w:r>
        <w:t>Prove launch, native ID capture, event streaming, follow-up, interruption, input requests, native resume, terminal handoff, and restart behavior. Classify every unsupported operation explicitly.</w:t>
      </w:r>
    </w:p>
    <w:p>
      <w:pPr>
        <w:pStyle w:val="ListBullet"/>
        <w:widowControl/>
      </w:pPr>
      <w:r>
        <w:t>Test unknown versions and malformed protocol output in isolation. One failing adapter must not prevent other adapters, tasks, or historical search from loading.</w:t>
      </w:r>
    </w:p>
    <w:p>
      <w:pPr>
        <w:widowControl/>
      </w:pPr>
      <w:r>
        <w:t>TR-012  Authentication remains within each runtime’s supported flow. Any login action is user initiated. Never assume subscription credentials work with a programmatic integration; verify account and credential requirements before enabling Launch.</w:t>
      </w:r>
    </w:p>
    <w:p>
      <w:pPr>
        <w:pStyle w:val="Heading1"/>
        <w:pageBreakBefore/>
        <w:widowControl/>
      </w:pPr>
      <w:r>
        <w:t>Persistent entities and artifact ownership</w:t>
      </w:r>
    </w:p>
    <w:p>
      <w:pPr>
        <w:widowControl/>
      </w:pPr>
      <w:r>
        <w:t>TR-020  Use generated stable IDs, UTC timestamps, schema versions, and explicit foreign keys. Retain native source references and content hashes. A session may appear in multiple task histories through an association table; each new run identifies its current task, and the UI must never silently share prior task context.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76"/>
        <w:gridCol w:w="7560"/>
      </w:tblGrid>
      <w:tr>
        <w:trPr>
          <w:cantSplit/>
          <w:tblHeader/>
        </w:trPr>
        <w:tc>
          <w:tcPr>
            <w:tcW w:type="dxa" w:w="2376"/>
            <w:vAlign w:val="center"/>
            <w:shd w:fill="E8EDF2"/>
          </w:tcPr>
          <w:p>
            <w:pPr>
              <w:keepNext/>
              <w:spacing w:after="40" w:line="252" w:lineRule="auto"/>
            </w:pPr>
            <w:r>
              <w:rPr>
                <w:b/>
                <w:sz w:val="18"/>
              </w:rPr>
              <w:t>Record</w:t>
            </w:r>
          </w:p>
        </w:tc>
        <w:tc>
          <w:tcPr>
            <w:tcW w:type="dxa" w:w="7560"/>
            <w:vAlign w:val="center"/>
            <w:shd w:fill="E8EDF2"/>
          </w:tcPr>
          <w:p>
            <w:pPr>
              <w:keepNext/>
              <w:spacing w:after="40" w:line="252" w:lineRule="auto"/>
            </w:pPr>
            <w:r>
              <w:rPr>
                <w:b/>
                <w:sz w:val="18"/>
              </w:rPr>
              <w:t>Minimum fields and constraints</w:t>
            </w:r>
          </w:p>
        </w:tc>
      </w:tr>
      <w:tr>
        <w:trPr>
          <w:cantSplit/>
        </w:trPr>
        <w:tc>
          <w:tcPr>
            <w:tcW w:type="dxa" w:w="2376"/>
            <w:vAlign w:val="center"/>
          </w:tcPr>
          <w:p>
            <w:pPr>
              <w:spacing w:after="40" w:line="252" w:lineRule="auto"/>
            </w:pPr>
            <w:r>
              <w:rPr>
                <w:b w:val="0"/>
                <w:sz w:val="18"/>
              </w:rPr>
              <w:t>Project and Task</w:t>
            </w:r>
          </w:p>
        </w:tc>
        <w:tc>
          <w:tcPr>
            <w:tcW w:type="dxa" w:w="7560"/>
            <w:vAlign w:val="center"/>
          </w:tcPr>
          <w:p>
            <w:pPr>
              <w:spacing w:after="40" w:line="252" w:lineRule="auto"/>
            </w:pPr>
            <w:r>
              <w:rPr>
                <w:b w:val="0"/>
                <w:sz w:val="18"/>
              </w:rPr>
              <w:t>Project ID, canonical path, name, Git metadata; task ID, project ID, objective, user status, created and archived times.</w:t>
            </w:r>
          </w:p>
        </w:tc>
      </w:tr>
      <w:tr>
        <w:trPr>
          <w:cantSplit/>
        </w:trPr>
        <w:tc>
          <w:tcPr>
            <w:tcW w:type="dxa" w:w="2376"/>
            <w:vAlign w:val="center"/>
          </w:tcPr>
          <w:p>
            <w:pPr>
              <w:spacing w:after="40" w:line="252" w:lineRule="auto"/>
            </w:pPr>
            <w:r>
              <w:rPr>
                <w:b w:val="0"/>
                <w:sz w:val="18"/>
              </w:rPr>
              <w:t>Session and TaskSession</w:t>
            </w:r>
          </w:p>
        </w:tc>
        <w:tc>
          <w:tcPr>
            <w:tcW w:type="dxa" w:w="7560"/>
            <w:vAlign w:val="center"/>
          </w:tcPr>
          <w:p>
            <w:pPr>
              <w:spacing w:after="40" w:line="252" w:lineRule="auto"/>
            </w:pPr>
            <w:r>
              <w:rPr>
                <w:b w:val="0"/>
                <w:sz w:val="18"/>
              </w:rPr>
              <w:t>Runtime, host, native ID, mode, capability snapshot, latest evidence; association role and attachment time.</w:t>
            </w:r>
          </w:p>
        </w:tc>
      </w:tr>
      <w:tr>
        <w:trPr>
          <w:cantSplit/>
        </w:trPr>
        <w:tc>
          <w:tcPr>
            <w:tcW w:type="dxa" w:w="2376"/>
            <w:vAlign w:val="center"/>
          </w:tcPr>
          <w:p>
            <w:pPr>
              <w:spacing w:after="40" w:line="252" w:lineRule="auto"/>
            </w:pPr>
            <w:r>
              <w:rPr>
                <w:b w:val="0"/>
                <w:sz w:val="18"/>
              </w:rPr>
              <w:t>Run and Connection</w:t>
            </w:r>
          </w:p>
        </w:tc>
        <w:tc>
          <w:tcPr>
            <w:tcW w:type="dxa" w:w="7560"/>
            <w:vAlign w:val="center"/>
          </w:tcPr>
          <w:p>
            <w:pPr>
              <w:spacing w:after="40" w:line="252" w:lineRule="auto"/>
            </w:pPr>
            <w:r>
              <w:rPr>
                <w:b w:val="0"/>
                <w:sz w:val="18"/>
              </w:rPr>
              <w:t>Run ID, session ID, task ID, native turn ID, start/end and outcome; connection generation, last seen, coverage, cursor.</w:t>
            </w:r>
          </w:p>
        </w:tc>
      </w:tr>
      <w:tr>
        <w:trPr>
          <w:cantSplit/>
        </w:trPr>
        <w:tc>
          <w:tcPr>
            <w:tcW w:type="dxa" w:w="2376"/>
            <w:vAlign w:val="center"/>
          </w:tcPr>
          <w:p>
            <w:pPr>
              <w:spacing w:after="40" w:line="252" w:lineRule="auto"/>
            </w:pPr>
            <w:r>
              <w:rPr>
                <w:b w:val="0"/>
                <w:sz w:val="18"/>
              </w:rPr>
              <w:t>Event and SourceCheckpoint</w:t>
            </w:r>
          </w:p>
        </w:tc>
        <w:tc>
          <w:tcPr>
            <w:tcW w:type="dxa" w:w="7560"/>
            <w:vAlign w:val="center"/>
          </w:tcPr>
          <w:p>
            <w:pPr>
              <w:spacing w:after="40" w:line="252" w:lineRule="auto"/>
            </w:pPr>
            <w:r>
              <w:rPr>
                <w:b w:val="0"/>
                <w:sz w:val="18"/>
              </w:rPr>
              <w:t>Global cursor, native event identity, type, run/session/task, source time, ingestion time, evidence kind, payload reference and hash; source generation and offset.</w:t>
            </w:r>
          </w:p>
        </w:tc>
      </w:tr>
      <w:tr>
        <w:trPr>
          <w:cantSplit/>
        </w:trPr>
        <w:tc>
          <w:tcPr>
            <w:tcW w:type="dxa" w:w="2376"/>
            <w:vAlign w:val="center"/>
          </w:tcPr>
          <w:p>
            <w:pPr>
              <w:spacing w:after="40" w:line="252" w:lineRule="auto"/>
            </w:pPr>
            <w:r>
              <w:rPr>
                <w:b w:val="0"/>
                <w:sz w:val="18"/>
              </w:rPr>
              <w:t>ControlAction</w:t>
            </w:r>
          </w:p>
        </w:tc>
        <w:tc>
          <w:tcPr>
            <w:tcW w:type="dxa" w:w="7560"/>
            <w:vAlign w:val="center"/>
          </w:tcPr>
          <w:p>
            <w:pPr>
              <w:spacing w:after="40" w:line="252" w:lineRule="auto"/>
            </w:pPr>
            <w:r>
              <w:rPr>
                <w:b w:val="0"/>
                <w:sz w:val="18"/>
              </w:rPr>
              <w:t>Client action ID, target, type, request hash, expected generation, payload reference, timestamps, native correlation, state, error.</w:t>
            </w:r>
          </w:p>
        </w:tc>
      </w:tr>
      <w:tr>
        <w:trPr>
          <w:cantSplit/>
        </w:trPr>
        <w:tc>
          <w:tcPr>
            <w:tcW w:type="dxa" w:w="2376"/>
            <w:vAlign w:val="center"/>
          </w:tcPr>
          <w:p>
            <w:pPr>
              <w:spacing w:after="40" w:line="252" w:lineRule="auto"/>
            </w:pPr>
            <w:r>
              <w:rPr>
                <w:b w:val="0"/>
                <w:sz w:val="18"/>
              </w:rPr>
              <w:t>AttentionItem</w:t>
            </w:r>
          </w:p>
        </w:tc>
        <w:tc>
          <w:tcPr>
            <w:tcW w:type="dxa" w:w="7560"/>
            <w:vAlign w:val="center"/>
          </w:tcPr>
          <w:p>
            <w:pPr>
              <w:spacing w:after="40" w:line="252" w:lineRule="auto"/>
            </w:pPr>
            <w:r>
              <w:rPr>
                <w:b w:val="0"/>
                <w:sz w:val="18"/>
              </w:rPr>
              <w:t>Kind, session/task, native request ID, request generation, state, expiry, allowed responses, originating event, resolution action.</w:t>
            </w:r>
          </w:p>
        </w:tc>
      </w:tr>
      <w:tr>
        <w:trPr>
          <w:cantSplit/>
        </w:trPr>
        <w:tc>
          <w:tcPr>
            <w:tcW w:type="dxa" w:w="2376"/>
            <w:vAlign w:val="center"/>
          </w:tcPr>
          <w:p>
            <w:pPr>
              <w:spacing w:after="40" w:line="252" w:lineRule="auto"/>
            </w:pPr>
            <w:r>
              <w:rPr>
                <w:b w:val="0"/>
                <w:sz w:val="18"/>
              </w:rPr>
              <w:t>Artifact and FindingVersion</w:t>
            </w:r>
          </w:p>
        </w:tc>
        <w:tc>
          <w:tcPr>
            <w:tcW w:type="dxa" w:w="7560"/>
            <w:vAlign w:val="center"/>
          </w:tcPr>
          <w:p>
            <w:pPr>
              <w:spacing w:after="40" w:line="252" w:lineRule="auto"/>
            </w:pPr>
            <w:r>
              <w:rPr>
                <w:b w:val="0"/>
                <w:sz w:val="18"/>
              </w:rPr>
              <w:t>Task, media type, owned path, content hash, source references; immutable finding version, author, claims, recommendations, questions.</w:t>
            </w:r>
          </w:p>
        </w:tc>
      </w:tr>
      <w:tr>
        <w:trPr>
          <w:cantSplit/>
        </w:trPr>
        <w:tc>
          <w:tcPr>
            <w:tcW w:type="dxa" w:w="2376"/>
            <w:vAlign w:val="center"/>
          </w:tcPr>
          <w:p>
            <w:pPr>
              <w:spacing w:after="40" w:line="252" w:lineRule="auto"/>
            </w:pPr>
            <w:r>
              <w:rPr>
                <w:b w:val="0"/>
                <w:sz w:val="18"/>
              </w:rPr>
              <w:t>ContextManifest and Delivery</w:t>
            </w:r>
          </w:p>
        </w:tc>
        <w:tc>
          <w:tcPr>
            <w:tcW w:type="dxa" w:w="7560"/>
            <w:vAlign w:val="center"/>
          </w:tcPr>
          <w:p>
            <w:pPr>
              <w:spacing w:after="40" w:line="252" w:lineRule="auto"/>
            </w:pPr>
            <w:r>
              <w:rPr>
                <w:b w:val="0"/>
                <w:sz w:val="18"/>
              </w:rPr>
              <w:t>Selected source versions and hashes, target, exact approved payload hash, redactions, bounds, estimate, approval time; action and acknowledgement.</w:t>
            </w:r>
          </w:p>
        </w:tc>
      </w:tr>
      <w:tr>
        <w:trPr>
          <w:cantSplit/>
        </w:trPr>
        <w:tc>
          <w:tcPr>
            <w:tcW w:type="dxa" w:w="2376"/>
            <w:vAlign w:val="center"/>
          </w:tcPr>
          <w:p>
            <w:pPr>
              <w:spacing w:after="40" w:line="252" w:lineRule="auto"/>
            </w:pPr>
            <w:r>
              <w:rPr>
                <w:b w:val="0"/>
                <w:sz w:val="18"/>
              </w:rPr>
              <w:t>LineageEdge and AuditEntry</w:t>
            </w:r>
          </w:p>
        </w:tc>
        <w:tc>
          <w:tcPr>
            <w:tcW w:type="dxa" w:w="7560"/>
            <w:vAlign w:val="center"/>
          </w:tcPr>
          <w:p>
            <w:pPr>
              <w:spacing w:after="40" w:line="252" w:lineRule="auto"/>
            </w:pPr>
            <w:r>
              <w:rPr>
                <w:b w:val="0"/>
                <w:sz w:val="18"/>
              </w:rPr>
              <w:t>Parent/child versions and relation; user action, affected IDs, timestamp, safe outcome, diagnostic correlation.</w:t>
            </w:r>
          </w:p>
        </w:tc>
      </w:tr>
    </w:tbl>
    <w:p>
      <w:pPr>
        <w:widowControl/>
        <w:spacing w:after="40" w:line="40" w:lineRule="exact" w:before="0"/>
      </w:pPr>
    </w:p>
    <w:p>
      <w:pPr>
        <w:pStyle w:val="Heading2"/>
        <w:widowControl/>
      </w:pPr>
      <w:r>
        <w:t>Storage rules</w:t>
      </w:r>
    </w:p>
    <w:p>
      <w:pPr>
        <w:widowControl/>
      </w:pPr>
      <w:r>
        <w:t>TR-021  Proposed default: keep database, task artifacts, and logs in the operating system’s user application-data directory. Optional .robin task exports are explicit and must identify repository visibility. Store attachment references or approved snapshots without modifying originals; calculate hashes when attaching and sending.</w:t>
      </w:r>
    </w:p>
    <w:p>
      <w:pPr>
        <w:widowControl/>
      </w:pPr>
      <w:r>
        <w:t>TR-022  Write owned artifacts to a temporary sibling file, flush, and atomically rename before committing the metadata reference. On startup reconcile orphaned temporary files and missing artifact references. Finding and manifest versions are immutable; corrections create new versions and lineage links.</w:t>
      </w:r>
    </w:p>
    <w:p>
      <w:pPr>
        <w:widowControl/>
      </w:pPr>
      <w:r>
        <w:t>TR-023  Unique constraints must cover native session identity, client action ID, and a source-qualified native event identity. Archive affects Robin visibility only. Retention or deletion of Robin copies does not delete native sessions, worktrees, or runtime credentials.</w:t>
      </w:r>
    </w:p>
    <w:p>
      <w:pPr>
        <w:pStyle w:val="Heading1"/>
        <w:pageBreakBefore/>
        <w:widowControl/>
      </w:pPr>
      <w:r>
        <w:t>Event ingestion and dashboard synchronization</w:t>
      </w:r>
    </w:p>
    <w:p>
      <w:pPr>
        <w:widowControl/>
      </w:pPr>
      <w:r>
        <w:t>TR-030  Use one normalized envelope for live events and imported history. Required fields: event_id, schema_version, global_cursor, runtime, native_session_id, Robin session_id, optional run_id and task_id, source_id, source_generation, source_event_id or offset, source_time, ingested_at, event_type, evidence_kind, payload_ref, and content_hash. Evidence is reported, observed, inferred, or unknown.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160"/>
        <w:gridCol w:w="7776"/>
      </w:tblGrid>
      <w:tr>
        <w:trPr>
          <w:cantSplit/>
          <w:tblHeader/>
        </w:trPr>
        <w:tc>
          <w:tcPr>
            <w:tcW w:type="dxa" w:w="2160"/>
            <w:vAlign w:val="center"/>
            <w:shd w:fill="E8EDF2"/>
          </w:tcPr>
          <w:p>
            <w:pPr>
              <w:keepNext/>
              <w:spacing w:after="40" w:line="252" w:lineRule="auto"/>
            </w:pPr>
            <w:r>
              <w:rPr>
                <w:b/>
                <w:sz w:val="18"/>
              </w:rPr>
              <w:t>Event family</w:t>
            </w:r>
          </w:p>
        </w:tc>
        <w:tc>
          <w:tcPr>
            <w:tcW w:type="dxa" w:w="7776"/>
            <w:vAlign w:val="center"/>
            <w:shd w:fill="E8EDF2"/>
          </w:tcPr>
          <w:p>
            <w:pPr>
              <w:keepNext/>
              <w:spacing w:after="40" w:line="252" w:lineRule="auto"/>
            </w:pPr>
            <w:r>
              <w:rPr>
                <w:b/>
                <w:sz w:val="18"/>
              </w:rPr>
              <w:t>Examples and display rule</w:t>
            </w:r>
          </w:p>
        </w:tc>
      </w:tr>
      <w:tr>
        <w:trPr>
          <w:cantSplit/>
        </w:trPr>
        <w:tc>
          <w:tcPr>
            <w:tcW w:type="dxa" w:w="2160"/>
            <w:vAlign w:val="center"/>
          </w:tcPr>
          <w:p>
            <w:pPr>
              <w:spacing w:after="40" w:line="252" w:lineRule="auto"/>
            </w:pPr>
            <w:r>
              <w:rPr>
                <w:b w:val="0"/>
                <w:sz w:val="18"/>
              </w:rPr>
              <w:t>Session and turn</w:t>
            </w:r>
          </w:p>
        </w:tc>
        <w:tc>
          <w:tcPr>
            <w:tcW w:type="dxa" w:w="7776"/>
            <w:vAlign w:val="center"/>
          </w:tcPr>
          <w:p>
            <w:pPr>
              <w:spacing w:after="40" w:line="252" w:lineRule="auto"/>
            </w:pPr>
            <w:r>
              <w:rPr>
                <w:b w:val="0"/>
                <w:sz w:val="18"/>
              </w:rPr>
              <w:t>Started, idle, failed, stopped, resumed; preserve native lifecycle meaning and run boundaries.</w:t>
            </w:r>
          </w:p>
        </w:tc>
      </w:tr>
      <w:tr>
        <w:trPr>
          <w:cantSplit/>
        </w:trPr>
        <w:tc>
          <w:tcPr>
            <w:tcW w:type="dxa" w:w="2160"/>
            <w:vAlign w:val="center"/>
          </w:tcPr>
          <w:p>
            <w:pPr>
              <w:spacing w:after="40" w:line="252" w:lineRule="auto"/>
            </w:pPr>
            <w:r>
              <w:rPr>
                <w:b w:val="0"/>
                <w:sz w:val="18"/>
              </w:rPr>
              <w:t>Message</w:t>
            </w:r>
          </w:p>
        </w:tc>
        <w:tc>
          <w:tcPr>
            <w:tcW w:type="dxa" w:w="7776"/>
            <w:vAlign w:val="center"/>
          </w:tcPr>
          <w:p>
            <w:pPr>
              <w:spacing w:after="40" w:line="252" w:lineRule="auto"/>
            </w:pPr>
            <w:r>
              <w:rPr>
                <w:b w:val="0"/>
                <w:sz w:val="18"/>
              </w:rPr>
              <w:t>User input, assistant delta, completed message; link deltas to a stable message ID.</w:t>
            </w:r>
          </w:p>
        </w:tc>
      </w:tr>
      <w:tr>
        <w:trPr>
          <w:cantSplit/>
        </w:trPr>
        <w:tc>
          <w:tcPr>
            <w:tcW w:type="dxa" w:w="2160"/>
            <w:vAlign w:val="center"/>
          </w:tcPr>
          <w:p>
            <w:pPr>
              <w:spacing w:after="40" w:line="252" w:lineRule="auto"/>
            </w:pPr>
            <w:r>
              <w:rPr>
                <w:b w:val="0"/>
                <w:sz w:val="18"/>
              </w:rPr>
              <w:t>Tool and command</w:t>
            </w:r>
          </w:p>
        </w:tc>
        <w:tc>
          <w:tcPr>
            <w:tcW w:type="dxa" w:w="7776"/>
            <w:vAlign w:val="center"/>
          </w:tcPr>
          <w:p>
            <w:pPr>
              <w:spacing w:after="40" w:line="252" w:lineRule="auto"/>
            </w:pPr>
            <w:r>
              <w:rPr>
                <w:b w:val="0"/>
                <w:sz w:val="18"/>
              </w:rPr>
              <w:t>Started, output, result, error; correlate invocation ID. Starting a test command is not a passing test.</w:t>
            </w:r>
          </w:p>
        </w:tc>
      </w:tr>
      <w:tr>
        <w:trPr>
          <w:cantSplit/>
        </w:trPr>
        <w:tc>
          <w:tcPr>
            <w:tcW w:type="dxa" w:w="2160"/>
            <w:vAlign w:val="center"/>
          </w:tcPr>
          <w:p>
            <w:pPr>
              <w:spacing w:after="40" w:line="252" w:lineRule="auto"/>
            </w:pPr>
            <w:r>
              <w:rPr>
                <w:b w:val="0"/>
                <w:sz w:val="18"/>
              </w:rPr>
              <w:t>File activity</w:t>
            </w:r>
          </w:p>
        </w:tc>
        <w:tc>
          <w:tcPr>
            <w:tcW w:type="dxa" w:w="7776"/>
            <w:vAlign w:val="center"/>
          </w:tcPr>
          <w:p>
            <w:pPr>
              <w:spacing w:after="40" w:line="252" w:lineRule="auto"/>
            </w:pPr>
            <w:r>
              <w:rPr>
                <w:b w:val="0"/>
                <w:sz w:val="18"/>
              </w:rPr>
              <w:t>Read/write/change when available; carry source attribution and avoid invented component completion.</w:t>
            </w:r>
          </w:p>
        </w:tc>
      </w:tr>
      <w:tr>
        <w:trPr>
          <w:cantSplit/>
        </w:trPr>
        <w:tc>
          <w:tcPr>
            <w:tcW w:type="dxa" w:w="2160"/>
            <w:vAlign w:val="center"/>
          </w:tcPr>
          <w:p>
            <w:pPr>
              <w:spacing w:after="40" w:line="252" w:lineRule="auto"/>
            </w:pPr>
            <w:r>
              <w:rPr>
                <w:b w:val="0"/>
                <w:sz w:val="18"/>
              </w:rPr>
              <w:t>Attention and control</w:t>
            </w:r>
          </w:p>
        </w:tc>
        <w:tc>
          <w:tcPr>
            <w:tcW w:type="dxa" w:w="7776"/>
            <w:vAlign w:val="center"/>
          </w:tcPr>
          <w:p>
            <w:pPr>
              <w:spacing w:after="40" w:line="252" w:lineRule="auto"/>
            </w:pPr>
            <w:r>
              <w:rPr>
                <w:b w:val="0"/>
                <w:sz w:val="18"/>
              </w:rPr>
              <w:t>Question, approval, expiry, submitted action, acknowledgement, rejection, unknown outcome.</w:t>
            </w:r>
          </w:p>
        </w:tc>
      </w:tr>
      <w:tr>
        <w:trPr>
          <w:cantSplit/>
        </w:trPr>
        <w:tc>
          <w:tcPr>
            <w:tcW w:type="dxa" w:w="2160"/>
            <w:vAlign w:val="center"/>
          </w:tcPr>
          <w:p>
            <w:pPr>
              <w:spacing w:after="40" w:line="252" w:lineRule="auto"/>
            </w:pPr>
            <w:r>
              <w:rPr>
                <w:b w:val="0"/>
                <w:sz w:val="18"/>
              </w:rPr>
              <w:t>Finding and transfer</w:t>
            </w:r>
          </w:p>
        </w:tc>
        <w:tc>
          <w:tcPr>
            <w:tcW w:type="dxa" w:w="7776"/>
            <w:vAlign w:val="center"/>
          </w:tcPr>
          <w:p>
            <w:pPr>
              <w:spacing w:after="40" w:line="252" w:lineRule="auto"/>
            </w:pPr>
            <w:r>
              <w:rPr>
                <w:b w:val="0"/>
                <w:sz w:val="18"/>
              </w:rPr>
              <w:t>Published finding, prepared packet, confirmed delivery, resulting artifact; keep provenance links.</w:t>
            </w:r>
          </w:p>
        </w:tc>
      </w:tr>
      <w:tr>
        <w:trPr>
          <w:cantSplit/>
        </w:trPr>
        <w:tc>
          <w:tcPr>
            <w:tcW w:type="dxa" w:w="2160"/>
            <w:vAlign w:val="center"/>
          </w:tcPr>
          <w:p>
            <w:pPr>
              <w:spacing w:after="40" w:line="252" w:lineRule="auto"/>
            </w:pPr>
            <w:r>
              <w:rPr>
                <w:b w:val="0"/>
                <w:sz w:val="18"/>
              </w:rPr>
              <w:t>Connection and gap</w:t>
            </w:r>
          </w:p>
        </w:tc>
        <w:tc>
          <w:tcPr>
            <w:tcW w:type="dxa" w:w="7776"/>
            <w:vAlign w:val="center"/>
          </w:tcPr>
          <w:p>
            <w:pPr>
              <w:spacing w:after="40" w:line="252" w:lineRule="auto"/>
            </w:pPr>
            <w:r>
              <w:rPr>
                <w:b w:val="0"/>
                <w:sz w:val="18"/>
              </w:rPr>
              <w:t>Connected, stale, reconnecting, recovered, missing coverage; do not hide gaps in history.</w:t>
            </w:r>
          </w:p>
        </w:tc>
      </w:tr>
    </w:tbl>
    <w:p>
      <w:pPr>
        <w:widowControl/>
        <w:spacing w:after="40" w:line="40" w:lineRule="exact" w:before="0"/>
      </w:pPr>
    </w:p>
    <w:p>
      <w:pPr>
        <w:pStyle w:val="Heading2"/>
        <w:widowControl/>
      </w:pPr>
      <w:r>
        <w:t>Ingestion guarantees</w:t>
      </w:r>
    </w:p>
    <w:p>
      <w:pPr>
        <w:widowControl/>
      </w:pPr>
      <w:r>
        <w:t>TR-031  Preserve order within a source using native sequence or parser offsets. Global cursor order represents database commit order, not a universal chronology across agents. Keep both source and ingestion times visible where useful. Clock skew must not reorder tool start/result pairs.</w:t>
      </w:r>
    </w:p>
    <w:p>
      <w:pPr>
        <w:widowControl/>
      </w:pPr>
      <w:r>
        <w:t>TR-032  Deduplicate by native event identity when available. Otherwise derive identity from source generation and byte range, with a hash for integrity; content hash alone must not collapse two legitimate identical messages. Correlate live and historical copies only when native identity proves equivalence. Mark unresolved duplicate candidates.</w:t>
      </w:r>
    </w:p>
    <w:p>
      <w:pPr>
        <w:widowControl/>
      </w:pPr>
      <w:r>
        <w:t>TR-033  Track inode/file identity, generation, byte offset, and incomplete tail. Buffer incomplete JSONL records; on rotation or truncation create a new generation and reconcile without losing prior history. Quarantine malformed records with safe diagnostics. Never advance a checkpoint beyond uncommitted accepted records.</w:t>
      </w:r>
    </w:p>
    <w:p>
      <w:pPr>
        <w:pStyle w:val="Heading2"/>
        <w:widowControl/>
      </w:pPr>
      <w:r>
        <w:t>Snapshot and stream protocol</w:t>
      </w:r>
    </w:p>
    <w:p>
      <w:pPr>
        <w:widowControl/>
      </w:pPr>
      <w:r>
        <w:t>TR-034  Read the initial dashboard snapshot and watermark in one consistent transaction, then subscribe to SSE after that watermark. SSE IDs use durable global cursors; reconnect uses Last-Event-ID or an explicit after cursor. Stream updates only after commit. A client deduplicates by event ID and upserts projections.</w:t>
      </w:r>
    </w:p>
    <w:p>
      <w:pPr>
        <w:widowControl/>
      </w:pPr>
      <w:r>
        <w:t>TR-035  If retention invalidates a cursor, return resync_required and obtain a new snapshot. Heartbeats prove the Robin connection is alive; they do not prove a harness is working. Bound client buffers and reconnect slow clients rather than dropping committed history silently.</w:t>
      </w:r>
    </w:p>
    <w:p>
      <w:pPr>
        <w:pStyle w:val="Heading1"/>
        <w:pageBreakBefore/>
        <w:widowControl/>
      </w:pPr>
      <w:r>
        <w:t>Session state and control semantics</w:t>
      </w:r>
    </w:p>
    <w:p>
      <w:pPr>
        <w:widowControl/>
      </w:pPr>
      <w:r>
        <w:t>TR-040  Model runtime state, connection state, pending attention, and task status separately. Runtime state may be running, waiting for input, idle, failed, stopped, or unknown. Connection state may be connected, reconnecting, stale, or disconnected. Pending attention may exist while work continues. A task becomes complete only through an explicit task decision with recorded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664"/>
        <w:gridCol w:w="7272"/>
      </w:tblGrid>
      <w:tr>
        <w:trPr>
          <w:cantSplit/>
          <w:tblHeader/>
        </w:trPr>
        <w:tc>
          <w:tcPr>
            <w:tcW w:type="dxa" w:w="2664"/>
            <w:vAlign w:val="center"/>
            <w:shd w:fill="E8EDF2"/>
          </w:tcPr>
          <w:p>
            <w:pPr>
              <w:keepNext/>
              <w:spacing w:after="40" w:line="252" w:lineRule="auto"/>
            </w:pPr>
            <w:r>
              <w:rPr>
                <w:b/>
                <w:sz w:val="18"/>
              </w:rPr>
              <w:t>Signal</w:t>
            </w:r>
          </w:p>
        </w:tc>
        <w:tc>
          <w:tcPr>
            <w:tcW w:type="dxa" w:w="7272"/>
            <w:vAlign w:val="center"/>
            <w:shd w:fill="E8EDF2"/>
          </w:tcPr>
          <w:p>
            <w:pPr>
              <w:keepNext/>
              <w:spacing w:after="40" w:line="252" w:lineRule="auto"/>
            </w:pPr>
            <w:r>
              <w:rPr>
                <w:b/>
                <w:sz w:val="18"/>
              </w:rPr>
              <w:t>Required transition or action</w:t>
            </w:r>
          </w:p>
        </w:tc>
      </w:tr>
      <w:tr>
        <w:trPr>
          <w:cantSplit/>
        </w:trPr>
        <w:tc>
          <w:tcPr>
            <w:tcW w:type="dxa" w:w="2664"/>
            <w:vAlign w:val="center"/>
          </w:tcPr>
          <w:p>
            <w:pPr>
              <w:spacing w:after="40" w:line="252" w:lineRule="auto"/>
            </w:pPr>
            <w:r>
              <w:rPr>
                <w:b w:val="0"/>
                <w:sz w:val="18"/>
              </w:rPr>
              <w:t>Turn start or current-state report</w:t>
            </w:r>
          </w:p>
        </w:tc>
        <w:tc>
          <w:tcPr>
            <w:tcW w:type="dxa" w:w="7272"/>
            <w:vAlign w:val="center"/>
          </w:tcPr>
          <w:p>
            <w:pPr>
              <w:spacing w:after="40" w:line="252" w:lineRule="auto"/>
            </w:pPr>
            <w:r>
              <w:rPr>
                <w:b w:val="0"/>
                <w:sz w:val="18"/>
              </w:rPr>
              <w:t>Set running with evidence time and run identity. A process being alive alone proves only liveness.</w:t>
            </w:r>
          </w:p>
        </w:tc>
      </w:tr>
      <w:tr>
        <w:trPr>
          <w:cantSplit/>
        </w:trPr>
        <w:tc>
          <w:tcPr>
            <w:tcW w:type="dxa" w:w="2664"/>
            <w:vAlign w:val="center"/>
          </w:tcPr>
          <w:p>
            <w:pPr>
              <w:spacing w:after="40" w:line="252" w:lineRule="auto"/>
            </w:pPr>
            <w:r>
              <w:rPr>
                <w:b w:val="0"/>
                <w:sz w:val="18"/>
              </w:rPr>
              <w:t>Blocking native request</w:t>
            </w:r>
          </w:p>
        </w:tc>
        <w:tc>
          <w:tcPr>
            <w:tcW w:type="dxa" w:w="7272"/>
            <w:vAlign w:val="center"/>
          </w:tcPr>
          <w:p>
            <w:pPr>
              <w:spacing w:after="40" w:line="252" w:lineRule="auto"/>
            </w:pPr>
            <w:r>
              <w:rPr>
                <w:b w:val="0"/>
                <w:sz w:val="18"/>
              </w:rPr>
              <w:t>Set waiting for input only when the runtime confirms the request blocks work; otherwise retain state plus attention.</w:t>
            </w:r>
          </w:p>
        </w:tc>
      </w:tr>
      <w:tr>
        <w:trPr>
          <w:cantSplit/>
        </w:trPr>
        <w:tc>
          <w:tcPr>
            <w:tcW w:type="dxa" w:w="2664"/>
            <w:vAlign w:val="center"/>
          </w:tcPr>
          <w:p>
            <w:pPr>
              <w:spacing w:after="40" w:line="252" w:lineRule="auto"/>
            </w:pPr>
            <w:r>
              <w:rPr>
                <w:b w:val="0"/>
                <w:sz w:val="18"/>
              </w:rPr>
              <w:t>Turn end or interrupt acknowledgement</w:t>
            </w:r>
          </w:p>
        </w:tc>
        <w:tc>
          <w:tcPr>
            <w:tcW w:type="dxa" w:w="7272"/>
            <w:vAlign w:val="center"/>
          </w:tcPr>
          <w:p>
            <w:pPr>
              <w:spacing w:after="40" w:line="252" w:lineRule="auto"/>
            </w:pPr>
            <w:r>
              <w:rPr>
                <w:b w:val="0"/>
                <w:sz w:val="18"/>
              </w:rPr>
              <w:t>Set idle or stopped according to the native signal; record run outcome without marking the task successful.</w:t>
            </w:r>
          </w:p>
        </w:tc>
      </w:tr>
      <w:tr>
        <w:trPr>
          <w:cantSplit/>
        </w:trPr>
        <w:tc>
          <w:tcPr>
            <w:tcW w:type="dxa" w:w="2664"/>
            <w:vAlign w:val="center"/>
          </w:tcPr>
          <w:p>
            <w:pPr>
              <w:spacing w:after="40" w:line="252" w:lineRule="auto"/>
            </w:pPr>
            <w:r>
              <w:rPr>
                <w:b w:val="0"/>
                <w:sz w:val="18"/>
              </w:rPr>
              <w:t>Transport loss</w:t>
            </w:r>
          </w:p>
        </w:tc>
        <w:tc>
          <w:tcPr>
            <w:tcW w:type="dxa" w:w="7272"/>
            <w:vAlign w:val="center"/>
          </w:tcPr>
          <w:p>
            <w:pPr>
              <w:spacing w:after="40" w:line="252" w:lineRule="auto"/>
            </w:pPr>
            <w:r>
              <w:rPr>
                <w:b w:val="0"/>
                <w:sz w:val="18"/>
              </w:rPr>
              <w:t>Mark connection stale or disconnected; invalidate actionable state until reconciled. Do not invent a successful finish.</w:t>
            </w:r>
          </w:p>
        </w:tc>
      </w:tr>
      <w:tr>
        <w:trPr>
          <w:cantSplit/>
        </w:trPr>
        <w:tc>
          <w:tcPr>
            <w:tcW w:type="dxa" w:w="2664"/>
            <w:vAlign w:val="center"/>
          </w:tcPr>
          <w:p>
            <w:pPr>
              <w:spacing w:after="40" w:line="252" w:lineRule="auto"/>
            </w:pPr>
            <w:r>
              <w:rPr>
                <w:b w:val="0"/>
                <w:sz w:val="18"/>
              </w:rPr>
              <w:t>Runtime failure or process exit</w:t>
            </w:r>
          </w:p>
        </w:tc>
        <w:tc>
          <w:tcPr>
            <w:tcW w:type="dxa" w:w="7272"/>
            <w:vAlign w:val="center"/>
          </w:tcPr>
          <w:p>
            <w:pPr>
              <w:spacing w:after="40" w:line="252" w:lineRule="auto"/>
            </w:pPr>
            <w:r>
              <w:rPr>
                <w:b w:val="0"/>
                <w:sz w:val="18"/>
              </w:rPr>
              <w:t>Record failure or stopped with reason and exit evidence. Agent-reported completion remains separately attributed.</w:t>
            </w:r>
          </w:p>
        </w:tc>
      </w:tr>
    </w:tbl>
    <w:p>
      <w:pPr>
        <w:widowControl/>
        <w:spacing w:after="40" w:line="40" w:lineRule="exact" w:before="0"/>
      </w:pPr>
    </w:p>
    <w:p>
      <w:pPr>
        <w:pStyle w:val="Heading2"/>
        <w:widowControl/>
      </w:pPr>
      <w:r>
        <w:t>Action ledger and concurrency</w:t>
      </w:r>
    </w:p>
    <w:p>
      <w:pPr>
        <w:widowControl/>
      </w:pPr>
      <w:r>
        <w:t>TR-041  Persist an action before invoking the adapter. Proposed states are requested, submitted, acknowledged, failed, cancelled, and outcome_unknown. An acknowledgement means acceptance of that action, not completion of coding work. An HTTP response lost after submission requires querying the existing action, not creating a new prompt.</w:t>
      </w:r>
    </w:p>
    <w:p>
      <w:pPr>
        <w:widowControl/>
      </w:pPr>
      <w:r>
        <w:t>TR-042  Clients generate a unique action_id and reuse it only for the same request. The service returns the stored outcome for identical repeats and rejects an ID reused with a different payload. Serialize mutating controls per session, revalidate capability and connection generation immediately before dispatch, and reject stale preconditions. Local deduplication cannot guarantee exactly-once execution inside an external runtime.</w:t>
      </w:r>
    </w:p>
    <w:p>
      <w:pPr>
        <w:widowControl/>
      </w:pPr>
      <w:r>
        <w:t>TR-043  If the service crashes between external submission and recorded acknowledgement, mark outcome_unknown and reconcile supported native correlation IDs. Do not automatically resend. The user may retry only after inspecting delivery state; a deliberate new request is a new action and warns of possible duplication.</w:t>
      </w:r>
    </w:p>
    <w:p>
      <w:pPr>
        <w:pStyle w:val="Heading2"/>
        <w:widowControl/>
      </w:pPr>
      <w:r>
        <w:t>Interrupt and approval behavior</w:t>
      </w:r>
    </w:p>
    <w:p>
      <w:pPr>
        <w:widowControl/>
      </w:pPr>
      <w:r>
        <w:t>TR-044  Interrupt remains pending until confirmed. Forced termination is a separate named destructive action that identifies owned processes and possible loss. On service restart verify process identity using more than PID and reconnect only through validated transports; if a pipe-based connection cannot survive, report that limit and offer native resume without automatic launch.</w:t>
      </w:r>
    </w:p>
    <w:p>
      <w:pPr>
        <w:widowControl/>
      </w:pPr>
      <w:r>
        <w:t>TR-045  Approval responses require native request ID, session, request generation, allowed decision, and current pending state. Atomically claim the request, dispatch once, and record outcome. Expired or already resolved requests reject further replies. Dismissal affects the notice only and never sends approval.</w:t>
      </w:r>
    </w:p>
    <w:p>
      <w:pPr>
        <w:pStyle w:val="Heading1"/>
        <w:pageBreakBefore/>
        <w:widowControl/>
      </w:pPr>
      <w:r>
        <w:t>HTTP API and browser authentication</w:t>
      </w:r>
    </w:p>
    <w:p>
      <w:pPr>
        <w:widowControl/>
      </w:pPr>
      <w:r>
        <w:t>TR-050  Proposed prefix is /api/v1. Validate typed bodies; errors include code, safe message, correlation ID, and retry guidance. Use bounded keyset pagination and return revisions or action records for mutations. Resolve paths on the execution host.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3312"/>
        <w:gridCol w:w="6624"/>
      </w:tblGrid>
      <w:tr>
        <w:trPr>
          <w:cantSplit/>
          <w:tblHeader/>
        </w:trPr>
        <w:tc>
          <w:tcPr>
            <w:tcW w:type="dxa" w:w="3312"/>
            <w:vAlign w:val="center"/>
            <w:shd w:fill="E8EDF2"/>
          </w:tcPr>
          <w:p>
            <w:pPr>
              <w:keepNext/>
              <w:spacing w:after="40" w:line="252" w:lineRule="auto"/>
            </w:pPr>
            <w:r>
              <w:rPr>
                <w:b/>
                <w:sz w:val="18"/>
              </w:rPr>
              <w:t>Endpoint group</w:t>
            </w:r>
          </w:p>
        </w:tc>
        <w:tc>
          <w:tcPr>
            <w:tcW w:type="dxa" w:w="6624"/>
            <w:vAlign w:val="center"/>
            <w:shd w:fill="E8EDF2"/>
          </w:tcPr>
          <w:p>
            <w:pPr>
              <w:keepNext/>
              <w:spacing w:after="40" w:line="252" w:lineRule="auto"/>
            </w:pPr>
            <w:r>
              <w:rPr>
                <w:b/>
                <w:sz w:val="18"/>
              </w:rPr>
              <w:t>Contract</w:t>
            </w:r>
          </w:p>
        </w:tc>
      </w:tr>
      <w:tr>
        <w:trPr>
          <w:cantSplit/>
        </w:trPr>
        <w:tc>
          <w:tcPr>
            <w:tcW w:type="dxa" w:w="3312"/>
            <w:vAlign w:val="center"/>
          </w:tcPr>
          <w:p>
            <w:pPr>
              <w:spacing w:after="40" w:line="252" w:lineRule="auto"/>
            </w:pPr>
            <w:r>
              <w:rPr>
                <w:b w:val="0"/>
                <w:sz w:val="18"/>
              </w:rPr>
              <w:t>GET /workspace and /adapters</w:t>
            </w:r>
          </w:p>
        </w:tc>
        <w:tc>
          <w:tcPr>
            <w:tcW w:type="dxa" w:w="6624"/>
            <w:vAlign w:val="center"/>
          </w:tcPr>
          <w:p>
            <w:pPr>
              <w:spacing w:after="40" w:line="252" w:lineRule="auto"/>
            </w:pPr>
            <w:r>
              <w:rPr>
                <w:b w:val="0"/>
                <w:sz w:val="18"/>
              </w:rPr>
              <w:t>Consistent dashboard snapshot and watermark; installed runtime capability reports.</w:t>
            </w:r>
          </w:p>
        </w:tc>
      </w:tr>
      <w:tr>
        <w:trPr>
          <w:cantSplit/>
        </w:trPr>
        <w:tc>
          <w:tcPr>
            <w:tcW w:type="dxa" w:w="3312"/>
            <w:vAlign w:val="center"/>
          </w:tcPr>
          <w:p>
            <w:pPr>
              <w:spacing w:after="40" w:line="252" w:lineRule="auto"/>
            </w:pPr>
            <w:r>
              <w:rPr>
                <w:b w:val="0"/>
                <w:sz w:val="18"/>
              </w:rPr>
              <w:t>POST /projects; /tasks</w:t>
            </w:r>
          </w:p>
        </w:tc>
        <w:tc>
          <w:tcPr>
            <w:tcW w:type="dxa" w:w="6624"/>
            <w:vAlign w:val="center"/>
          </w:tcPr>
          <w:p>
            <w:pPr>
              <w:spacing w:after="40" w:line="252" w:lineRule="auto"/>
            </w:pPr>
            <w:r>
              <w:rPr>
                <w:b w:val="0"/>
                <w:sz w:val="18"/>
              </w:rPr>
              <w:t>Register a validated directory; create task objective and associations. PATCH uses expected revision.</w:t>
            </w:r>
          </w:p>
        </w:tc>
      </w:tr>
      <w:tr>
        <w:trPr>
          <w:cantSplit/>
        </w:trPr>
        <w:tc>
          <w:tcPr>
            <w:tcW w:type="dxa" w:w="3312"/>
            <w:vAlign w:val="center"/>
          </w:tcPr>
          <w:p>
            <w:pPr>
              <w:spacing w:after="40" w:line="252" w:lineRule="auto"/>
            </w:pPr>
            <w:r>
              <w:rPr>
                <w:b w:val="0"/>
                <w:sz w:val="18"/>
              </w:rPr>
              <w:t>GET /sessions; /sessions/{id}</w:t>
            </w:r>
          </w:p>
        </w:tc>
        <w:tc>
          <w:tcPr>
            <w:tcW w:type="dxa" w:w="6624"/>
            <w:vAlign w:val="center"/>
          </w:tcPr>
          <w:p>
            <w:pPr>
              <w:spacing w:after="40" w:line="252" w:lineRule="auto"/>
            </w:pPr>
            <w:r>
              <w:rPr>
                <w:b w:val="0"/>
                <w:sz w:val="18"/>
              </w:rPr>
              <w:t>Filter by project/task/runtime/state; return native identity, mode, evidence, freshness, controls.</w:t>
            </w:r>
          </w:p>
        </w:tc>
      </w:tr>
      <w:tr>
        <w:trPr>
          <w:cantSplit/>
        </w:trPr>
        <w:tc>
          <w:tcPr>
            <w:tcW w:type="dxa" w:w="3312"/>
            <w:vAlign w:val="center"/>
          </w:tcPr>
          <w:p>
            <w:pPr>
              <w:spacing w:after="40" w:line="252" w:lineRule="auto"/>
            </w:pPr>
            <w:r>
              <w:rPr>
                <w:b w:val="0"/>
                <w:sz w:val="18"/>
              </w:rPr>
              <w:t>POST /sessions/launch</w:t>
            </w:r>
          </w:p>
        </w:tc>
        <w:tc>
          <w:tcPr>
            <w:tcW w:type="dxa" w:w="6624"/>
            <w:vAlign w:val="center"/>
          </w:tcPr>
          <w:p>
            <w:pPr>
              <w:spacing w:after="40" w:line="252" w:lineRule="auto"/>
            </w:pPr>
            <w:r>
              <w:rPr>
                <w:b w:val="0"/>
                <w:sz w:val="18"/>
              </w:rPr>
              <w:t>Task, adapter, approved prompt reference, working directory, optional worktree, and action_id.</w:t>
            </w:r>
          </w:p>
        </w:tc>
      </w:tr>
      <w:tr>
        <w:trPr>
          <w:cantSplit/>
        </w:trPr>
        <w:tc>
          <w:tcPr>
            <w:tcW w:type="dxa" w:w="3312"/>
            <w:vAlign w:val="center"/>
          </w:tcPr>
          <w:p>
            <w:pPr>
              <w:spacing w:after="40" w:line="252" w:lineRule="auto"/>
            </w:pPr>
            <w:r>
              <w:rPr>
                <w:b w:val="0"/>
                <w:sz w:val="18"/>
              </w:rPr>
              <w:t>POST /sessions/{id}/actions</w:t>
            </w:r>
          </w:p>
        </w:tc>
        <w:tc>
          <w:tcPr>
            <w:tcW w:type="dxa" w:w="6624"/>
            <w:vAlign w:val="center"/>
          </w:tcPr>
          <w:p>
            <w:pPr>
              <w:spacing w:after="40" w:line="252" w:lineRule="auto"/>
            </w:pPr>
            <w:r>
              <w:rPr>
                <w:b w:val="0"/>
                <w:sz w:val="18"/>
              </w:rPr>
              <w:t>Typed resume/message/interrupt/native-open action, capability preconditions and action_id.</w:t>
            </w:r>
          </w:p>
        </w:tc>
      </w:tr>
      <w:tr>
        <w:trPr>
          <w:cantSplit/>
        </w:trPr>
        <w:tc>
          <w:tcPr>
            <w:tcW w:type="dxa" w:w="3312"/>
            <w:vAlign w:val="center"/>
          </w:tcPr>
          <w:p>
            <w:pPr>
              <w:spacing w:after="40" w:line="252" w:lineRule="auto"/>
            </w:pPr>
            <w:r>
              <w:rPr>
                <w:b w:val="0"/>
                <w:sz w:val="18"/>
              </w:rPr>
              <w:t>GET /actions/{action_id}</w:t>
            </w:r>
          </w:p>
        </w:tc>
        <w:tc>
          <w:tcPr>
            <w:tcW w:type="dxa" w:w="6624"/>
            <w:vAlign w:val="center"/>
          </w:tcPr>
          <w:p>
            <w:pPr>
              <w:spacing w:after="40" w:line="252" w:lineRule="auto"/>
            </w:pPr>
            <w:r>
              <w:rPr>
                <w:b w:val="0"/>
                <w:sz w:val="18"/>
              </w:rPr>
              <w:t>Return durable state and acknowledgement; no automatic mutation during polling.</w:t>
            </w:r>
          </w:p>
        </w:tc>
      </w:tr>
      <w:tr>
        <w:trPr>
          <w:cantSplit/>
        </w:trPr>
        <w:tc>
          <w:tcPr>
            <w:tcW w:type="dxa" w:w="3312"/>
            <w:vAlign w:val="center"/>
          </w:tcPr>
          <w:p>
            <w:pPr>
              <w:spacing w:after="40" w:line="252" w:lineRule="auto"/>
            </w:pPr>
            <w:r>
              <w:rPr>
                <w:b w:val="0"/>
                <w:sz w:val="18"/>
              </w:rPr>
              <w:t>POST /attention/{id}/responses</w:t>
            </w:r>
          </w:p>
        </w:tc>
        <w:tc>
          <w:tcPr>
            <w:tcW w:type="dxa" w:w="6624"/>
            <w:vAlign w:val="center"/>
          </w:tcPr>
          <w:p>
            <w:pPr>
              <w:spacing w:after="40" w:line="252" w:lineRule="auto"/>
            </w:pPr>
            <w:r>
              <w:rPr>
                <w:b w:val="0"/>
                <w:sz w:val="18"/>
              </w:rPr>
              <w:t>Explicit answer or allowed approval decision, native request generation, and action_id.</w:t>
            </w:r>
          </w:p>
        </w:tc>
      </w:tr>
      <w:tr>
        <w:trPr>
          <w:cantSplit/>
        </w:trPr>
        <w:tc>
          <w:tcPr>
            <w:tcW w:type="dxa" w:w="3312"/>
            <w:vAlign w:val="center"/>
          </w:tcPr>
          <w:p>
            <w:pPr>
              <w:spacing w:after="40" w:line="252" w:lineRule="auto"/>
            </w:pPr>
            <w:r>
              <w:rPr>
                <w:b w:val="0"/>
                <w:sz w:val="18"/>
              </w:rPr>
              <w:t>GET /events and /stream</w:t>
            </w:r>
          </w:p>
        </w:tc>
        <w:tc>
          <w:tcPr>
            <w:tcW w:type="dxa" w:w="6624"/>
            <w:vAlign w:val="center"/>
          </w:tcPr>
          <w:p>
            <w:pPr>
              <w:spacing w:after="40" w:line="252" w:lineRule="auto"/>
            </w:pPr>
            <w:r>
              <w:rPr>
                <w:b w:val="0"/>
                <w:sz w:val="18"/>
              </w:rPr>
              <w:t>Paginated durable history; SSE after cursor with authenticated access and gap handling.</w:t>
            </w:r>
          </w:p>
        </w:tc>
      </w:tr>
      <w:tr>
        <w:trPr>
          <w:cantSplit/>
        </w:trPr>
        <w:tc>
          <w:tcPr>
            <w:tcW w:type="dxa" w:w="3312"/>
            <w:vAlign w:val="center"/>
          </w:tcPr>
          <w:p>
            <w:pPr>
              <w:spacing w:after="40" w:line="252" w:lineRule="auto"/>
            </w:pPr>
            <w:r>
              <w:rPr>
                <w:b w:val="0"/>
                <w:sz w:val="18"/>
              </w:rPr>
              <w:t>POST /findings; /context/previews</w:t>
            </w:r>
          </w:p>
        </w:tc>
        <w:tc>
          <w:tcPr>
            <w:tcW w:type="dxa" w:w="6624"/>
            <w:vAlign w:val="center"/>
          </w:tcPr>
          <w:p>
            <w:pPr>
              <w:spacing w:after="40" w:line="252" w:lineRule="auto"/>
            </w:pPr>
            <w:r>
              <w:rPr>
                <w:b w:val="0"/>
                <w:sz w:val="18"/>
              </w:rPr>
              <w:t>Validate finding version; create bounded packet preview with hashes and source versions.</w:t>
            </w:r>
          </w:p>
        </w:tc>
      </w:tr>
      <w:tr>
        <w:trPr>
          <w:cantSplit/>
        </w:trPr>
        <w:tc>
          <w:tcPr>
            <w:tcW w:type="dxa" w:w="3312"/>
            <w:vAlign w:val="center"/>
          </w:tcPr>
          <w:p>
            <w:pPr>
              <w:spacing w:after="40" w:line="252" w:lineRule="auto"/>
            </w:pPr>
            <w:r>
              <w:rPr>
                <w:b w:val="0"/>
                <w:sz w:val="18"/>
              </w:rPr>
              <w:t>POST /context/{id}/deliver</w:t>
            </w:r>
          </w:p>
        </w:tc>
        <w:tc>
          <w:tcPr>
            <w:tcW w:type="dxa" w:w="6624"/>
            <w:vAlign w:val="center"/>
          </w:tcPr>
          <w:p>
            <w:pPr>
              <w:spacing w:after="40" w:line="252" w:lineRule="auto"/>
            </w:pPr>
            <w:r>
              <w:rPr>
                <w:b w:val="0"/>
                <w:sz w:val="18"/>
              </w:rPr>
              <w:t>Approve exact preview hash and target; atomically persist manifest plus delivery action.</w:t>
            </w:r>
          </w:p>
        </w:tc>
      </w:tr>
      <w:tr>
        <w:trPr>
          <w:cantSplit/>
        </w:trPr>
        <w:tc>
          <w:tcPr>
            <w:tcW w:type="dxa" w:w="3312"/>
            <w:vAlign w:val="center"/>
          </w:tcPr>
          <w:p>
            <w:pPr>
              <w:spacing w:after="40" w:line="252" w:lineRule="auto"/>
            </w:pPr>
            <w:r>
              <w:rPr>
                <w:b w:val="0"/>
                <w:sz w:val="18"/>
              </w:rPr>
              <w:t>GET /search; /artifacts/{id}</w:t>
            </w:r>
          </w:p>
        </w:tc>
        <w:tc>
          <w:tcPr>
            <w:tcW w:type="dxa" w:w="6624"/>
            <w:vAlign w:val="center"/>
          </w:tcPr>
          <w:p>
            <w:pPr>
              <w:spacing w:after="40" w:line="252" w:lineRule="auto"/>
            </w:pPr>
            <w:r>
              <w:rPr>
                <w:b w:val="0"/>
                <w:sz w:val="18"/>
              </w:rPr>
              <w:t>Task-scoped FTS results; safe content/download access through owned IDs, not arbitrary paths.</w:t>
            </w:r>
          </w:p>
        </w:tc>
      </w:tr>
    </w:tbl>
    <w:p>
      <w:pPr>
        <w:widowControl/>
        <w:spacing w:after="40" w:line="40" w:lineRule="exact" w:before="0"/>
      </w:pPr>
    </w:p>
    <w:p>
      <w:pPr>
        <w:pStyle w:val="Heading2"/>
        <w:widowControl/>
      </w:pPr>
      <w:r>
        <w:t>Errors and action responses</w:t>
      </w:r>
    </w:p>
    <w:p>
      <w:pPr>
        <w:widowControl/>
      </w:pPr>
      <w:r>
        <w:t>Use 422 for invalid fields, 401 for missing authentication, 403 for disallowed origin/scope, 404 for missing entities, 409 for stale state or action ID conflicts, and 503 for unavailable adapters. Accepted asynchronous actions return 202 with action_id and state. Reconcile uncertain delivery before retry.</w:t>
      </w:r>
    </w:p>
    <w:p>
      <w:pPr>
        <w:pStyle w:val="Heading2"/>
        <w:widowControl/>
      </w:pPr>
      <w:r>
        <w:t>Local browser session</w:t>
      </w:r>
    </w:p>
    <w:p>
      <w:pPr>
        <w:widowControl/>
      </w:pPr>
      <w:r>
        <w:t>TR-051  Bind loopback by default and serve frontend and API from the same origin. Proposed bootstrap is a single-use random secret in a URL fragment exchanged for an HttpOnly session cookie, then removed from the address bar. Do not log that secret. Validate Origin and Host, require a CSRF token on mutations, and deny wildcard CORS. Production cookie and TLS settings must match the supported local/private access mode.</w:t>
      </w:r>
    </w:p>
    <w:p>
      <w:pPr>
        <w:widowControl/>
      </w:pPr>
      <w:r>
        <w:t>TR-052  CLI authentication uses a user-restricted local credential or IPC channel; it receives no bypass of task policies. Optional private access to the same host needs explicit configuration, authenticated transport, and documented TLS or SSH forwarding. It does not enable multi-host aggregation.</w:t>
      </w:r>
    </w:p>
    <w:p>
      <w:pPr>
        <w:pStyle w:val="Heading1"/>
        <w:pageBreakBefore/>
        <w:widowControl/>
      </w:pPr>
      <w:r>
        <w:t>Findings and context transfer</w:t>
      </w:r>
    </w:p>
    <w:p>
      <w:pPr>
        <w:widowControl/>
      </w:pPr>
      <w:r>
        <w:t>TR-060  A structured finding must include schema version, task ID, author runtime and native session, creation time, summary, claims with evidence references, recommendations, unresolved questions, and parent artifact IDs. Missing evidence is permitted only when labeled unsupported. Browser-rendered claims are untrusted text, not executable instructions.</w:t>
      </w:r>
    </w:p>
    <w:p>
      <w:pPr>
        <w:widowControl/>
        <w:spacing w:line="240" w:lineRule="auto"/>
      </w:pPr>
      <w:r>
        <w:rPr>
          <w:rFonts w:ascii="DejaVu Sans Mono" w:hAnsi="DejaVu Sans Mono"/>
          <w:sz w:val="17"/>
        </w:rPr>
        <w:t>{</w:t>
        <w:br/>
        <w:t xml:space="preserve">  "schema_version": 1, "task_id": "task_01",</w:t>
        <w:br/>
        <w:t xml:space="preserve">  "created_at": "2026-10-14T12:00:00Z",</w:t>
        <w:br/>
        <w:t xml:space="preserve">  "author": {"runtime": "codex", "native_session_id": "native_42"},</w:t>
        <w:br/>
        <w:t xml:space="preserve">  "summary": "The reconnect path can duplicate a prompt.",</w:t>
        <w:br/>
        <w:t xml:space="preserve">  "claims": [{"text": "Delivery state is not persisted before send.",</w:t>
        <w:br/>
        <w:t xml:space="preserve">    "evidence": [{"artifact_id": "src_08", "range": "120-135"}]}],</w:t>
        <w:br/>
        <w:t xml:space="preserve">  "recommendations": ["Persist an action ID before dispatch."],</w:t>
        <w:br/>
        <w:t xml:space="preserve">  "questions": ["Does the runtime expose reconciliation IDs?"],</w:t>
        <w:br/>
        <w:t xml:space="preserve">  "parents": []</w:t>
        <w:br/>
        <w:t>}</w:t>
      </w:r>
    </w:p>
    <w:p>
      <w:pPr>
        <w:pStyle w:val="Heading2"/>
        <w:widowControl/>
      </w:pPr>
      <w:r>
        <w:t>Prepare and confirm</w:t>
      </w:r>
    </w:p>
    <w:p>
      <w:pPr>
        <w:widowControl/>
      </w:pPr>
      <w:r>
        <w:t>TR-061  Build a deterministic packet from task objective, the user’s target question, selected source snapshots, selected findings, and bounded transcript excerpts. The preview shows exact recipient, source versions, excerpt boundaries, proposed redactions, bytes, and an explicitly approximate token estimate. The default is findings first; full transcripts are excluded unless selected explicitly.</w:t>
      </w:r>
    </w:p>
    <w:p>
      <w:pPr>
        <w:widowControl/>
      </w:pPr>
      <w:r>
        <w:t>TR-062  Proposed initial limits are 100 search results per page, 100 transcript messages per excerpt, and 256 KiB of text per context packet. These are engineering guardrails to validate, not PRD promises. Never silently truncate selected evidence: require a smaller selection or explicit approved summarization. Preserve pinned exact evidence and source attribution.</w:t>
      </w:r>
    </w:p>
    <w:p>
      <w:pPr>
        <w:widowControl/>
      </w:pPr>
      <w:r>
        <w:t>TR-063  Confirming the preview must lock the approved content hash, recipient, source hashes, redactions, and manifest version. Recheck mutable sources; if any source or target changes, invalidate the preview and ask for a new review. Store the precise approved payload in Robin’s restricted artifact store so later audit does not depend on mutable source files.</w:t>
      </w:r>
    </w:p>
    <w:p>
      <w:pPr>
        <w:pStyle w:val="Heading2"/>
        <w:widowControl/>
      </w:pPr>
      <w:r>
        <w:t>Delivery and lineage</w:t>
      </w:r>
    </w:p>
    <w:p>
      <w:pPr>
        <w:widowControl/>
      </w:pPr>
      <w:r>
        <w:t>TR-064  Track prepared, submitted, acknowledged, failed, and outcome_unknown delivery. Adapter acknowledgement proves accepted input only; consumption is claimed only with supporting native evidence. Record each resulting synthesis as a new artifact linked to the manifest and input versions. Independent reviewers receive no other-agent findings until explicit transfer.</w:t>
      </w:r>
    </w:p>
    <w:p>
      <w:pPr>
        <w:widowControl/>
      </w:pPr>
      <w:r>
        <w:t>TR-065  Flag duplicate hashes and derived artifacts; exclude detected context loops by default. Every summary labels itself and links to its sources. New claims in a synthesis need separate evidence. Do not treat repeated paraphrases as independent confirmation.</w:t>
      </w:r>
    </w:p>
    <w:p>
      <w:pPr>
        <w:widowControl/>
      </w:pPr>
      <w:r>
        <w:t>TR-066  Optional MCP calls are scoped to a task and calling session. task.get, finding.list/read/publish, artifact.publish, and session.read_excerpt expose only granted sources and approved ranges. No arbitrary filesystem or global transcript access is implied by attaching a session.</w:t>
      </w:r>
    </w:p>
    <w:p>
      <w:pPr>
        <w:pStyle w:val="Heading1"/>
        <w:pageBreakBefore/>
        <w:widowControl/>
      </w:pPr>
      <w:r>
        <w:t>Security and local operations</w:t>
      </w:r>
    </w:p>
    <w:p>
      <w:pPr>
        <w:widowControl/>
      </w:pPr>
      <w:r>
        <w:t>TR-070  Protect the local control surface against hostile websites, malicious transcript content, accidental data sharing, path traversal, and concurrent writes. Runtime permissions remain authoritative; Robin never auto-approves a request or widens a runtime sandbox to make an action succeed.</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04"/>
        <w:gridCol w:w="7632"/>
      </w:tblGrid>
      <w:tr>
        <w:trPr>
          <w:cantSplit/>
          <w:tblHeader/>
        </w:trPr>
        <w:tc>
          <w:tcPr>
            <w:tcW w:type="dxa" w:w="2304"/>
            <w:vAlign w:val="center"/>
            <w:shd w:fill="E8EDF2"/>
          </w:tcPr>
          <w:p>
            <w:pPr>
              <w:keepNext/>
              <w:spacing w:after="40" w:line="252" w:lineRule="auto"/>
            </w:pPr>
            <w:r>
              <w:rPr>
                <w:b/>
                <w:sz w:val="18"/>
              </w:rPr>
              <w:t>Boundary</w:t>
            </w:r>
          </w:p>
        </w:tc>
        <w:tc>
          <w:tcPr>
            <w:tcW w:type="dxa" w:w="7632"/>
            <w:vAlign w:val="center"/>
            <w:shd w:fill="E8EDF2"/>
          </w:tcPr>
          <w:p>
            <w:pPr>
              <w:keepNext/>
              <w:spacing w:after="40" w:line="252" w:lineRule="auto"/>
            </w:pPr>
            <w:r>
              <w:rPr>
                <w:b/>
                <w:sz w:val="18"/>
              </w:rPr>
              <w:t>Required handling</w:t>
            </w:r>
          </w:p>
        </w:tc>
      </w:tr>
      <w:tr>
        <w:trPr>
          <w:cantSplit/>
        </w:trPr>
        <w:tc>
          <w:tcPr>
            <w:tcW w:type="dxa" w:w="2304"/>
            <w:vAlign w:val="center"/>
          </w:tcPr>
          <w:p>
            <w:pPr>
              <w:spacing w:after="40" w:line="252" w:lineRule="auto"/>
            </w:pPr>
            <w:r>
              <w:rPr>
                <w:b w:val="0"/>
                <w:sz w:val="18"/>
              </w:rPr>
              <w:t>Browser content</w:t>
            </w:r>
          </w:p>
        </w:tc>
        <w:tc>
          <w:tcPr>
            <w:tcW w:type="dxa" w:w="7632"/>
            <w:vAlign w:val="center"/>
          </w:tcPr>
          <w:p>
            <w:pPr>
              <w:spacing w:after="40" w:line="252" w:lineRule="auto"/>
            </w:pPr>
            <w:r>
              <w:rPr>
                <w:b w:val="0"/>
                <w:sz w:val="18"/>
              </w:rPr>
              <w:t>Render transcripts and Markdown with a sanitized allowlist; disable raw HTML, active scripts, unsafe links and embedded remote resources.</w:t>
            </w:r>
          </w:p>
        </w:tc>
      </w:tr>
      <w:tr>
        <w:trPr>
          <w:cantSplit/>
        </w:trPr>
        <w:tc>
          <w:tcPr>
            <w:tcW w:type="dxa" w:w="2304"/>
            <w:vAlign w:val="center"/>
          </w:tcPr>
          <w:p>
            <w:pPr>
              <w:spacing w:after="40" w:line="252" w:lineRule="auto"/>
            </w:pPr>
            <w:r>
              <w:rPr>
                <w:b w:val="0"/>
                <w:sz w:val="18"/>
              </w:rPr>
              <w:t>Filesystem</w:t>
            </w:r>
          </w:p>
        </w:tc>
        <w:tc>
          <w:tcPr>
            <w:tcW w:type="dxa" w:w="7632"/>
            <w:vAlign w:val="center"/>
          </w:tcPr>
          <w:p>
            <w:pPr>
              <w:spacing w:after="40" w:line="252" w:lineRule="auto"/>
            </w:pPr>
            <w:r>
              <w:rPr>
                <w:b w:val="0"/>
                <w:sz w:val="18"/>
              </w:rPr>
              <w:t>Canonicalize and validate paths against the project or owned store; recheck symlinks at access; do not expose arbitrary file reads by path.</w:t>
            </w:r>
          </w:p>
        </w:tc>
      </w:tr>
      <w:tr>
        <w:trPr>
          <w:cantSplit/>
        </w:trPr>
        <w:tc>
          <w:tcPr>
            <w:tcW w:type="dxa" w:w="2304"/>
            <w:vAlign w:val="center"/>
          </w:tcPr>
          <w:p>
            <w:pPr>
              <w:spacing w:after="40" w:line="252" w:lineRule="auto"/>
            </w:pPr>
            <w:r>
              <w:rPr>
                <w:b w:val="0"/>
                <w:sz w:val="18"/>
              </w:rPr>
              <w:t>Process launch</w:t>
            </w:r>
          </w:p>
        </w:tc>
        <w:tc>
          <w:tcPr>
            <w:tcW w:type="dxa" w:w="7632"/>
            <w:vAlign w:val="center"/>
          </w:tcPr>
          <w:p>
            <w:pPr>
              <w:spacing w:after="40" w:line="252" w:lineRule="auto"/>
            </w:pPr>
            <w:r>
              <w:rPr>
                <w:b w:val="0"/>
                <w:sz w:val="18"/>
              </w:rPr>
              <w:t>Use executable allowlists and argument arrays; never interpolate shell commands from prompts, transcripts, or browser fields.</w:t>
            </w:r>
          </w:p>
        </w:tc>
      </w:tr>
      <w:tr>
        <w:trPr>
          <w:cantSplit/>
        </w:trPr>
        <w:tc>
          <w:tcPr>
            <w:tcW w:type="dxa" w:w="2304"/>
            <w:vAlign w:val="center"/>
          </w:tcPr>
          <w:p>
            <w:pPr>
              <w:spacing w:after="40" w:line="252" w:lineRule="auto"/>
            </w:pPr>
            <w:r>
              <w:rPr>
                <w:b w:val="0"/>
                <w:sz w:val="18"/>
              </w:rPr>
              <w:t>Credentials</w:t>
            </w:r>
          </w:p>
        </w:tc>
        <w:tc>
          <w:tcPr>
            <w:tcW w:type="dxa" w:w="7632"/>
            <w:vAlign w:val="center"/>
          </w:tcPr>
          <w:p>
            <w:pPr>
              <w:spacing w:after="40" w:line="252" w:lineRule="auto"/>
            </w:pPr>
            <w:r>
              <w:rPr>
                <w:b w:val="0"/>
                <w:sz w:val="18"/>
              </w:rPr>
              <w:t>Keep runtime credentials outside index and browser payloads; redact safe diagnostics and avoid capturing environment secrets.</w:t>
            </w:r>
          </w:p>
        </w:tc>
      </w:tr>
      <w:tr>
        <w:trPr>
          <w:cantSplit/>
        </w:trPr>
        <w:tc>
          <w:tcPr>
            <w:tcW w:type="dxa" w:w="2304"/>
            <w:vAlign w:val="center"/>
          </w:tcPr>
          <w:p>
            <w:pPr>
              <w:spacing w:after="40" w:line="252" w:lineRule="auto"/>
            </w:pPr>
            <w:r>
              <w:rPr>
                <w:b w:val="0"/>
                <w:sz w:val="18"/>
              </w:rPr>
              <w:t>Sharing and indexing</w:t>
            </w:r>
          </w:p>
        </w:tc>
        <w:tc>
          <w:tcPr>
            <w:tcW w:type="dxa" w:w="7632"/>
            <w:vAlign w:val="center"/>
          </w:tcPr>
          <w:p>
            <w:pPr>
              <w:spacing w:after="40" w:line="252" w:lineRule="auto"/>
            </w:pPr>
            <w:r>
              <w:rPr>
                <w:b w:val="0"/>
                <w:sz w:val="18"/>
              </w:rPr>
              <w:t>Honor exclusions before persistence where feasible; scan packets and present editable redaction previews. A scanner is not proof that content is secret-free.</w:t>
            </w:r>
          </w:p>
        </w:tc>
      </w:tr>
      <w:tr>
        <w:trPr>
          <w:cantSplit/>
        </w:trPr>
        <w:tc>
          <w:tcPr>
            <w:tcW w:type="dxa" w:w="2304"/>
            <w:vAlign w:val="center"/>
          </w:tcPr>
          <w:p>
            <w:pPr>
              <w:spacing w:after="40" w:line="252" w:lineRule="auto"/>
            </w:pPr>
            <w:r>
              <w:rPr>
                <w:b w:val="0"/>
                <w:sz w:val="18"/>
              </w:rPr>
              <w:t>Local data</w:t>
            </w:r>
          </w:p>
        </w:tc>
        <w:tc>
          <w:tcPr>
            <w:tcW w:type="dxa" w:w="7632"/>
            <w:vAlign w:val="center"/>
          </w:tcPr>
          <w:p>
            <w:pPr>
              <w:spacing w:after="40" w:line="252" w:lineRule="auto"/>
            </w:pPr>
            <w:r>
              <w:rPr>
                <w:b w:val="0"/>
                <w:sz w:val="18"/>
              </w:rPr>
              <w:t>Proposed directory mode 0700 and file mode 0600 where supported; no cloud sync or telemetry by default.</w:t>
            </w:r>
          </w:p>
        </w:tc>
      </w:tr>
      <w:tr>
        <w:trPr>
          <w:cantSplit/>
        </w:trPr>
        <w:tc>
          <w:tcPr>
            <w:tcW w:type="dxa" w:w="2304"/>
            <w:vAlign w:val="center"/>
          </w:tcPr>
          <w:p>
            <w:pPr>
              <w:spacing w:after="40" w:line="252" w:lineRule="auto"/>
            </w:pPr>
            <w:r>
              <w:rPr>
                <w:b w:val="0"/>
                <w:sz w:val="18"/>
              </w:rPr>
              <w:t>Concurrent repository writes</w:t>
            </w:r>
          </w:p>
        </w:tc>
        <w:tc>
          <w:tcPr>
            <w:tcW w:type="dxa" w:w="7632"/>
            <w:vAlign w:val="center"/>
          </w:tcPr>
          <w:p>
            <w:pPr>
              <w:spacing w:after="40" w:line="252" w:lineRule="auto"/>
            </w:pPr>
            <w:r>
              <w:rPr>
                <w:b w:val="0"/>
                <w:sz w:val="18"/>
              </w:rPr>
              <w:t>Display branch and directory for each write run; warn on shared paths. Optional worktrees require explicit paths and refuse collisions.</w:t>
            </w:r>
          </w:p>
        </w:tc>
      </w:tr>
    </w:tbl>
    <w:p>
      <w:pPr>
        <w:widowControl/>
        <w:spacing w:after="40" w:line="40" w:lineRule="exact" w:before="0"/>
      </w:pPr>
    </w:p>
    <w:p>
      <w:pPr>
        <w:pStyle w:val="Heading2"/>
        <w:widowControl/>
      </w:pPr>
      <w:r>
        <w:t>Lifecycle and installation</w:t>
      </w:r>
    </w:p>
    <w:p>
      <w:pPr>
        <w:widowControl/>
      </w:pPr>
      <w:r>
        <w:t>TR-071  Ship a uv/pipx-compatible command with bundled static assets and a capability doctor command. Installation checks SQLite FTS5, adapter prerequisites, writable data directory, and an available loopback port. Declare supported OS and runtime versions in release notes. Bind only one service per data directory using an OS lock.</w:t>
      </w:r>
    </w:p>
    <w:p>
      <w:pPr>
        <w:widowControl/>
      </w:pPr>
      <w:r>
        <w:t>TR-072  Distinguish browser close, service exit, run interruption, force termination, metadata deletion, artifact deletion, and worktree removal. A service shutdown names affected managed connections; it must not claim child sessions survive unless that transport was tested. Startup reconciliation never automatically starts a new turn.</w:t>
      </w:r>
    </w:p>
    <w:p>
      <w:pPr>
        <w:pStyle w:val="Heading2"/>
        <w:widowControl/>
      </w:pPr>
      <w:r>
        <w:t>Migrations backup and export</w:t>
      </w:r>
    </w:p>
    <w:p>
      <w:pPr>
        <w:widowControl/>
      </w:pPr>
      <w:r>
        <w:t>TR-073  Apply versioned migrations with a schema compatibility check and a consistent pre-migration backup. Fail safely if migration is interrupted. Use SQLite’s backup facility or a stopped service rather than copying an active database file without its WAL state. Downgrades require a compatible backup; do not improvise schema rollback.</w:t>
      </w:r>
    </w:p>
    <w:p>
      <w:pPr>
        <w:widowControl/>
      </w:pPr>
      <w:r>
        <w:t>TR-074  Export task metadata, owned artifacts, finding versions, and manifests with relative paths and hashes. Exclude credentials. Mark external native source references as references rather than pretending they were exported. Back up artifact files consistently with the database snapshot.</w:t>
      </w:r>
    </w:p>
    <w:p>
      <w:pPr>
        <w:pStyle w:val="Heading1"/>
        <w:pageBreakBefore/>
        <w:widowControl/>
      </w:pPr>
      <w:r>
        <w:t>Performance retention and diagnostics</w:t>
      </w:r>
    </w:p>
    <w:p>
      <w:pPr>
        <w:widowControl/>
      </w:pPr>
      <w:r>
        <w:t>TR-080  Treat the PRD performance values as acceptance targets, not measured results. Establish a reference machine and reproducible dataset, then record percentile latency, CPU, memory, database size, active connections, and source delay. Proposed reference: 8-core Apple Silicon Mac with 16 GB RAM and SSD; test Linux separately and report the actual configurations.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736"/>
        <w:gridCol w:w="7200"/>
      </w:tblGrid>
      <w:tr>
        <w:trPr>
          <w:cantSplit/>
          <w:tblHeader/>
        </w:trPr>
        <w:tc>
          <w:tcPr>
            <w:tcW w:type="dxa" w:w="2736"/>
            <w:vAlign w:val="center"/>
            <w:shd w:fill="E8EDF2"/>
          </w:tcPr>
          <w:p>
            <w:pPr>
              <w:keepNext/>
              <w:spacing w:after="40" w:line="252" w:lineRule="auto"/>
            </w:pPr>
            <w:r>
              <w:rPr>
                <w:b/>
                <w:sz w:val="18"/>
              </w:rPr>
              <w:t>Target</w:t>
            </w:r>
          </w:p>
        </w:tc>
        <w:tc>
          <w:tcPr>
            <w:tcW w:type="dxa" w:w="7200"/>
            <w:vAlign w:val="center"/>
            <w:shd w:fill="E8EDF2"/>
          </w:tcPr>
          <w:p>
            <w:pPr>
              <w:keepNext/>
              <w:spacing w:after="40" w:line="252" w:lineRule="auto"/>
            </w:pPr>
            <w:r>
              <w:rPr>
                <w:b/>
                <w:sz w:val="18"/>
              </w:rPr>
              <w:t>Measurement and implementation expectation</w:t>
            </w:r>
          </w:p>
        </w:tc>
      </w:tr>
      <w:tr>
        <w:trPr>
          <w:cantSplit/>
        </w:trPr>
        <w:tc>
          <w:tcPr>
            <w:tcW w:type="dxa" w:w="2736"/>
            <w:vAlign w:val="center"/>
          </w:tcPr>
          <w:p>
            <w:pPr>
              <w:spacing w:after="40" w:line="252" w:lineRule="auto"/>
            </w:pPr>
            <w:r>
              <w:rPr>
                <w:b w:val="0"/>
                <w:sz w:val="18"/>
              </w:rPr>
              <w:t>Interactive startup within 2 s</w:t>
            </w:r>
          </w:p>
        </w:tc>
        <w:tc>
          <w:tcPr>
            <w:tcW w:type="dxa" w:w="7200"/>
            <w:vAlign w:val="center"/>
          </w:tcPr>
          <w:p>
            <w:pPr>
              <w:spacing w:after="40" w:line="252" w:lineRule="auto"/>
            </w:pPr>
            <w:r>
              <w:rPr>
                <w:b w:val="0"/>
                <w:sz w:val="18"/>
              </w:rPr>
              <w:t>10,000 indexed sessions after initial scan; first usable dashboard snapshot from service start on reference hardware.</w:t>
            </w:r>
          </w:p>
        </w:tc>
      </w:tr>
      <w:tr>
        <w:trPr>
          <w:cantSplit/>
        </w:trPr>
        <w:tc>
          <w:tcPr>
            <w:tcW w:type="dxa" w:w="2736"/>
            <w:vAlign w:val="center"/>
          </w:tcPr>
          <w:p>
            <w:pPr>
              <w:spacing w:after="40" w:line="252" w:lineRule="auto"/>
            </w:pPr>
            <w:r>
              <w:rPr>
                <w:b w:val="0"/>
                <w:sz w:val="18"/>
              </w:rPr>
              <w:t>Search first results within 300 ms</w:t>
            </w:r>
          </w:p>
        </w:tc>
        <w:tc>
          <w:tcPr>
            <w:tcW w:type="dxa" w:w="7200"/>
            <w:vAlign w:val="center"/>
          </w:tcPr>
          <w:p>
            <w:pPr>
              <w:spacing w:after="40" w:line="252" w:lineRule="auto"/>
            </w:pPr>
            <w:r>
              <w:rPr>
                <w:b w:val="0"/>
                <w:sz w:val="18"/>
              </w:rPr>
              <w:t>Typical task and transcript FTS queries; proposed p95 criterion with documented warm/cold samples.</w:t>
            </w:r>
          </w:p>
        </w:tc>
      </w:tr>
      <w:tr>
        <w:trPr>
          <w:cantSplit/>
        </w:trPr>
        <w:tc>
          <w:tcPr>
            <w:tcW w:type="dxa" w:w="2736"/>
            <w:vAlign w:val="center"/>
          </w:tcPr>
          <w:p>
            <w:pPr>
              <w:spacing w:after="40" w:line="252" w:lineRule="auto"/>
            </w:pPr>
            <w:r>
              <w:rPr>
                <w:b w:val="0"/>
                <w:sz w:val="18"/>
              </w:rPr>
              <w:t>Idle indexing below 1% CPU</w:t>
            </w:r>
          </w:p>
        </w:tc>
        <w:tc>
          <w:tcPr>
            <w:tcW w:type="dxa" w:w="7200"/>
            <w:vAlign w:val="center"/>
          </w:tcPr>
          <w:p>
            <w:pPr>
              <w:spacing w:after="40" w:line="252" w:lineRule="auto"/>
            </w:pPr>
            <w:r>
              <w:rPr>
                <w:b w:val="0"/>
                <w:sz w:val="18"/>
              </w:rPr>
              <w:t>Average after initial scan over a documented idle interval; use filesystem notifications plus bounded polling fallback.</w:t>
            </w:r>
          </w:p>
        </w:tc>
      </w:tr>
      <w:tr>
        <w:trPr>
          <w:cantSplit/>
        </w:trPr>
        <w:tc>
          <w:tcPr>
            <w:tcW w:type="dxa" w:w="2736"/>
            <w:vAlign w:val="center"/>
          </w:tcPr>
          <w:p>
            <w:pPr>
              <w:spacing w:after="40" w:line="252" w:lineRule="auto"/>
            </w:pPr>
            <w:r>
              <w:rPr>
                <w:b w:val="0"/>
                <w:sz w:val="18"/>
              </w:rPr>
              <w:t>95% of events visible within 2 s</w:t>
            </w:r>
          </w:p>
        </w:tc>
        <w:tc>
          <w:tcPr>
            <w:tcW w:type="dxa" w:w="7200"/>
            <w:vAlign w:val="center"/>
          </w:tcPr>
          <w:p>
            <w:pPr>
              <w:spacing w:after="40" w:line="252" w:lineRule="auto"/>
            </w:pPr>
            <w:r>
              <w:rPr>
                <w:b w:val="0"/>
                <w:sz w:val="18"/>
              </w:rPr>
              <w:t>Measure UI arrival minus service ingestion time. Native source-to-ingestion delay is a separate metric.</w:t>
            </w:r>
          </w:p>
        </w:tc>
      </w:tr>
      <w:tr>
        <w:trPr>
          <w:cantSplit/>
        </w:trPr>
        <w:tc>
          <w:tcPr>
            <w:tcW w:type="dxa" w:w="2736"/>
            <w:vAlign w:val="center"/>
          </w:tcPr>
          <w:p>
            <w:pPr>
              <w:spacing w:after="40" w:line="252" w:lineRule="auto"/>
            </w:pPr>
            <w:r>
              <w:rPr>
                <w:b w:val="0"/>
                <w:sz w:val="18"/>
              </w:rPr>
              <w:t>20 active sessions remain usable</w:t>
            </w:r>
          </w:p>
        </w:tc>
        <w:tc>
          <w:tcPr>
            <w:tcW w:type="dxa" w:w="7200"/>
            <w:vAlign w:val="center"/>
          </w:tcPr>
          <w:p>
            <w:pPr>
              <w:spacing w:after="40" w:line="252" w:lineRule="auto"/>
            </w:pPr>
            <w:r>
              <w:rPr>
                <w:b w:val="0"/>
                <w:sz w:val="18"/>
              </w:rPr>
              <w:t>Filter, inspect evidence, open attention, and submit a control while events stream. Virtualize history and bound rendering batches.</w:t>
            </w:r>
          </w:p>
        </w:tc>
      </w:tr>
      <w:tr>
        <w:trPr>
          <w:cantSplit/>
        </w:trPr>
        <w:tc>
          <w:tcPr>
            <w:tcW w:type="dxa" w:w="2736"/>
            <w:vAlign w:val="center"/>
          </w:tcPr>
          <w:p>
            <w:pPr>
              <w:spacing w:after="40" w:line="252" w:lineRule="auto"/>
            </w:pPr>
            <w:r>
              <w:rPr>
                <w:b w:val="0"/>
                <w:sz w:val="18"/>
              </w:rPr>
              <w:t>Crash and replay preserve data</w:t>
            </w:r>
          </w:p>
        </w:tc>
        <w:tc>
          <w:tcPr>
            <w:tcW w:type="dxa" w:w="7200"/>
            <w:vAlign w:val="center"/>
          </w:tcPr>
          <w:p>
            <w:pPr>
              <w:spacing w:after="40" w:line="252" w:lineRule="auto"/>
            </w:pPr>
            <w:r>
              <w:rPr>
                <w:b w:val="0"/>
                <w:sz w:val="18"/>
              </w:rPr>
              <w:t>Kill service at transaction and action boundaries; verify durable cursors, no duplicate prompts, and explicit uncertain outcomes.</w:t>
            </w:r>
          </w:p>
        </w:tc>
      </w:tr>
    </w:tbl>
    <w:p>
      <w:pPr>
        <w:widowControl/>
        <w:spacing w:after="40" w:line="40" w:lineRule="exact" w:before="0"/>
      </w:pPr>
    </w:p>
    <w:p>
      <w:pPr>
        <w:pStyle w:val="Heading2"/>
        <w:widowControl/>
      </w:pPr>
      <w:r>
        <w:t>Retention policy</w:t>
      </w:r>
    </w:p>
    <w:p>
      <w:pPr>
        <w:widowControl/>
      </w:pPr>
      <w:r>
        <w:t>TR-081  Proposed first release retains metadata, findings, approved manifests, and audit records until explicit deletion. Activity and copied transcript retention are configurable; no silent eviction of core records. Provide storage usage and a cleanup preview. Native transcripts remain under their harness’s policy. Pruning must preserve source identity and mark unavailable excerpts honestly.</w:t>
      </w:r>
    </w:p>
    <w:p>
      <w:pPr>
        <w:widowControl/>
      </w:pPr>
      <w:r>
        <w:t>TR-082  Keep summaries separate from verbose tool payloads. Proposed default is a 1 MiB per-record parser limit and a 64 KiB inline display limit; larger approved payloads live in bounded artifact storage with an explicit truncated preview and a safe download. Reject oversized malformed records with a diagnostic rather than exhausting memory. Validate these limits in load tests.</w:t>
      </w:r>
    </w:p>
    <w:p>
      <w:pPr>
        <w:pStyle w:val="Heading2"/>
        <w:widowControl/>
      </w:pPr>
      <w:r>
        <w:t>Diagnostics and health</w:t>
      </w:r>
    </w:p>
    <w:p>
      <w:pPr>
        <w:widowControl/>
      </w:pPr>
      <w:r>
        <w:t>TR-083  Structured logs include adapter/version, session ID, action ID, cursor, stage, duration, and safe error code. Never log full prompts, raw credentials, or secret scanner matches by default. A user-requested diagnostic export must preview its content and redactions.</w:t>
      </w:r>
    </w:p>
    <w:p>
      <w:pPr>
        <w:widowControl/>
      </w:pPr>
      <w:r>
        <w:t>TR-084  Health checks distinguish service ready, database writable, index backlog, adapter availability, event coverage, and stale session connections. Keep diagnostics local. Surface retryable indexing failures without repeatedly notifying the user for the same source; active failed controls always receive a visible outcome.</w:t>
      </w:r>
    </w:p>
    <w:p>
      <w:pPr>
        <w:pStyle w:val="Heading1"/>
        <w:pageBreakBefore/>
        <w:widowControl/>
      </w:pPr>
      <w:r>
        <w:t>Verification and release gates</w:t>
      </w:r>
    </w:p>
    <w:p>
      <w:pPr>
        <w:widowControl/>
      </w:pPr>
      <w:r>
        <w:t>TR-090  A release needs automated fixture checks and real runtime evidence. Mocks validate Robin logic; they do not prove native session compatibility. Keep a dated compatibility matrix for each supported OS, runtime version, account flow, capability, and known limitation.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304"/>
        <w:gridCol w:w="7632"/>
      </w:tblGrid>
      <w:tr>
        <w:trPr>
          <w:cantSplit/>
          <w:tblHeader/>
        </w:trPr>
        <w:tc>
          <w:tcPr>
            <w:tcW w:type="dxa" w:w="2304"/>
            <w:vAlign w:val="center"/>
            <w:shd w:fill="E8EDF2"/>
          </w:tcPr>
          <w:p>
            <w:pPr>
              <w:keepNext/>
              <w:spacing w:after="40" w:line="252" w:lineRule="auto"/>
            </w:pPr>
            <w:r>
              <w:rPr>
                <w:b/>
                <w:sz w:val="18"/>
              </w:rPr>
              <w:t>Test layer</w:t>
            </w:r>
          </w:p>
        </w:tc>
        <w:tc>
          <w:tcPr>
            <w:tcW w:type="dxa" w:w="7632"/>
            <w:vAlign w:val="center"/>
            <w:shd w:fill="E8EDF2"/>
          </w:tcPr>
          <w:p>
            <w:pPr>
              <w:keepNext/>
              <w:spacing w:after="40" w:line="252" w:lineRule="auto"/>
            </w:pPr>
            <w:r>
              <w:rPr>
                <w:b/>
                <w:sz w:val="18"/>
              </w:rPr>
              <w:t>Required scenarios and pass evidence</w:t>
            </w:r>
          </w:p>
        </w:tc>
      </w:tr>
      <w:tr>
        <w:trPr>
          <w:cantSplit/>
        </w:trPr>
        <w:tc>
          <w:tcPr>
            <w:tcW w:type="dxa" w:w="2304"/>
            <w:vAlign w:val="center"/>
          </w:tcPr>
          <w:p>
            <w:pPr>
              <w:spacing w:after="40" w:line="252" w:lineRule="auto"/>
            </w:pPr>
            <w:r>
              <w:rPr>
                <w:b w:val="0"/>
                <w:sz w:val="18"/>
              </w:rPr>
              <w:t>Parser and schema</w:t>
            </w:r>
          </w:p>
        </w:tc>
        <w:tc>
          <w:tcPr>
            <w:tcW w:type="dxa" w:w="7632"/>
            <w:vAlign w:val="center"/>
          </w:tcPr>
          <w:p>
            <w:pPr>
              <w:spacing w:after="40" w:line="252" w:lineRule="auto"/>
            </w:pPr>
            <w:r>
              <w:rPr>
                <w:b w:val="0"/>
                <w:sz w:val="18"/>
              </w:rPr>
              <w:t>Partial JSONL, Unicode, rotation, truncation, unknown fields, oversized records, native order, repeated identical text, and provenance preservation.</w:t>
            </w:r>
          </w:p>
        </w:tc>
      </w:tr>
      <w:tr>
        <w:trPr>
          <w:cantSplit/>
        </w:trPr>
        <w:tc>
          <w:tcPr>
            <w:tcW w:type="dxa" w:w="2304"/>
            <w:vAlign w:val="center"/>
          </w:tcPr>
          <w:p>
            <w:pPr>
              <w:spacing w:after="40" w:line="252" w:lineRule="auto"/>
            </w:pPr>
            <w:r>
              <w:rPr>
                <w:b w:val="0"/>
                <w:sz w:val="18"/>
              </w:rPr>
              <w:t>Database and actions</w:t>
            </w:r>
          </w:p>
        </w:tc>
        <w:tc>
          <w:tcPr>
            <w:tcW w:type="dxa" w:w="7632"/>
            <w:vAlign w:val="center"/>
          </w:tcPr>
          <w:p>
            <w:pPr>
              <w:spacing w:after="40" w:line="252" w:lineRule="auto"/>
            </w:pPr>
            <w:r>
              <w:rPr>
                <w:b w:val="0"/>
                <w:sz w:val="18"/>
              </w:rPr>
              <w:t>Migration interruption, rollback, checkpoint atomicity, ID conflict, two browser tabs, per-session mutation ordering, crash during dispatch, and outcome_unknown recovery.</w:t>
            </w:r>
          </w:p>
        </w:tc>
      </w:tr>
      <w:tr>
        <w:trPr>
          <w:cantSplit/>
        </w:trPr>
        <w:tc>
          <w:tcPr>
            <w:tcW w:type="dxa" w:w="2304"/>
            <w:vAlign w:val="center"/>
          </w:tcPr>
          <w:p>
            <w:pPr>
              <w:spacing w:after="40" w:line="252" w:lineRule="auto"/>
            </w:pPr>
            <w:r>
              <w:rPr>
                <w:b w:val="0"/>
                <w:sz w:val="18"/>
              </w:rPr>
              <w:t>Adapter contract</w:t>
            </w:r>
          </w:p>
        </w:tc>
        <w:tc>
          <w:tcPr>
            <w:tcW w:type="dxa" w:w="7632"/>
            <w:vAlign w:val="center"/>
          </w:tcPr>
          <w:p>
            <w:pPr>
              <w:spacing w:after="40" w:line="252" w:lineRule="auto"/>
            </w:pPr>
            <w:r>
              <w:rPr>
                <w:b w:val="0"/>
                <w:sz w:val="18"/>
              </w:rPr>
              <w:t>Real launch, native ID, follow-up mode, interruption, approval expiry, rejection, resume, event coverage, terminal fallback, auth failure, and unsupported version.</w:t>
            </w:r>
          </w:p>
        </w:tc>
      </w:tr>
      <w:tr>
        <w:trPr>
          <w:cantSplit/>
        </w:trPr>
        <w:tc>
          <w:tcPr>
            <w:tcW w:type="dxa" w:w="2304"/>
            <w:vAlign w:val="center"/>
          </w:tcPr>
          <w:p>
            <w:pPr>
              <w:spacing w:after="40" w:line="252" w:lineRule="auto"/>
            </w:pPr>
            <w:r>
              <w:rPr>
                <w:b w:val="0"/>
                <w:sz w:val="18"/>
              </w:rPr>
              <w:t>Browser integration</w:t>
            </w:r>
          </w:p>
        </w:tc>
        <w:tc>
          <w:tcPr>
            <w:tcW w:type="dxa" w:w="7632"/>
            <w:vAlign w:val="center"/>
          </w:tcPr>
          <w:p>
            <w:pPr>
              <w:spacing w:after="40" w:line="252" w:lineRule="auto"/>
            </w:pPr>
            <w:r>
              <w:rPr>
                <w:b w:val="0"/>
                <w:sz w:val="18"/>
              </w:rPr>
              <w:t>Snapshot/SSE race, cursor replay, expired cursor resync, slow client, server restart, gap indicator, disabled action reason, and navigation to source.</w:t>
            </w:r>
          </w:p>
        </w:tc>
      </w:tr>
      <w:tr>
        <w:trPr>
          <w:cantSplit/>
        </w:trPr>
        <w:tc>
          <w:tcPr>
            <w:tcW w:type="dxa" w:w="2304"/>
            <w:vAlign w:val="center"/>
          </w:tcPr>
          <w:p>
            <w:pPr>
              <w:spacing w:after="40" w:line="252" w:lineRule="auto"/>
            </w:pPr>
            <w:r>
              <w:rPr>
                <w:b w:val="0"/>
                <w:sz w:val="18"/>
              </w:rPr>
              <w:t>Context collaboration</w:t>
            </w:r>
          </w:p>
        </w:tc>
        <w:tc>
          <w:tcPr>
            <w:tcW w:type="dxa" w:w="7632"/>
            <w:vAlign w:val="center"/>
          </w:tcPr>
          <w:p>
            <w:pPr>
              <w:spacing w:after="40" w:line="252" w:lineRule="auto"/>
            </w:pPr>
            <w:r>
              <w:rPr>
                <w:b w:val="0"/>
                <w:sz w:val="18"/>
              </w:rPr>
              <w:t>Independent inputs, selected findings only, packet-size limit, changed source invalidation, redaction, immutable payload hash, lineage, and acknowledged synthesis.</w:t>
            </w:r>
          </w:p>
        </w:tc>
      </w:tr>
      <w:tr>
        <w:trPr>
          <w:cantSplit/>
        </w:trPr>
        <w:tc>
          <w:tcPr>
            <w:tcW w:type="dxa" w:w="2304"/>
            <w:vAlign w:val="center"/>
          </w:tcPr>
          <w:p>
            <w:pPr>
              <w:spacing w:after="40" w:line="252" w:lineRule="auto"/>
            </w:pPr>
            <w:r>
              <w:rPr>
                <w:b w:val="0"/>
                <w:sz w:val="18"/>
              </w:rPr>
              <w:t>Security</w:t>
            </w:r>
          </w:p>
        </w:tc>
        <w:tc>
          <w:tcPr>
            <w:tcW w:type="dxa" w:w="7632"/>
            <w:vAlign w:val="center"/>
          </w:tcPr>
          <w:p>
            <w:pPr>
              <w:spacing w:after="40" w:line="252" w:lineRule="auto"/>
            </w:pPr>
            <w:r>
              <w:rPr>
                <w:b w:val="0"/>
                <w:sz w:val="18"/>
              </w:rPr>
              <w:t>Origin/Host/CSRF rejection, sanitized hostile Markdown, traversal and symlink escape, safe process arguments, task-scoped MCP, and credential-free diagnostics.</w:t>
            </w:r>
          </w:p>
        </w:tc>
      </w:tr>
      <w:tr>
        <w:trPr>
          <w:cantSplit/>
        </w:trPr>
        <w:tc>
          <w:tcPr>
            <w:tcW w:type="dxa" w:w="2304"/>
            <w:vAlign w:val="center"/>
          </w:tcPr>
          <w:p>
            <w:pPr>
              <w:spacing w:after="40" w:line="252" w:lineRule="auto"/>
            </w:pPr>
            <w:r>
              <w:rPr>
                <w:b w:val="0"/>
                <w:sz w:val="18"/>
              </w:rPr>
              <w:t>Performance and accessibility</w:t>
            </w:r>
          </w:p>
        </w:tc>
        <w:tc>
          <w:tcPr>
            <w:tcW w:type="dxa" w:w="7632"/>
            <w:vAlign w:val="center"/>
          </w:tcPr>
          <w:p>
            <w:pPr>
              <w:spacing w:after="40" w:line="252" w:lineRule="auto"/>
            </w:pPr>
            <w:r>
              <w:rPr>
                <w:b w:val="0"/>
                <w:sz w:val="18"/>
              </w:rPr>
              <w:t>Reference dataset targets; 20 concurrent sessions; keyboard-only core workflows, visible focus, announced state, contrast, and reduced motion.</w:t>
            </w:r>
          </w:p>
        </w:tc>
      </w:tr>
    </w:tbl>
    <w:p>
      <w:pPr>
        <w:widowControl/>
        <w:spacing w:after="40" w:line="40" w:lineRule="exact" w:before="0"/>
      </w:pPr>
    </w:p>
    <w:p>
      <w:pPr>
        <w:pStyle w:val="Heading2"/>
        <w:widowControl/>
      </w:pPr>
      <w:r>
        <w:t>End to end release scenario</w:t>
      </w:r>
    </w:p>
    <w:p>
      <w:pPr>
        <w:widowControl/>
      </w:pPr>
      <w:r>
        <w:t>Register a repository and PRD-review task. Discover one historical session per harness; launch one managed session per harness, observe real events, and collect findings. Handle supported attention, interrupt one run, preview Codex and Pi findings for Claude, confirm delivery, and retain the resulting synthesis. Search back to the sources. Refresh the browser and restart the service, then reconcile without relaunch or repeated input.</w:t>
      </w:r>
    </w:p>
    <w:p>
      <w:pPr>
        <w:widowControl/>
      </w:pPr>
      <w:r>
        <w:t>Also verify unsupported controls, expired approvals, malformed sources, a lost delivery acknowledgement, and unavailable historical content. The UI must retain honest state and never turn a native end-of-turn signal into verified task completion.</w:t>
      </w:r>
    </w:p>
    <w:p>
      <w:pPr>
        <w:pStyle w:val="Heading2"/>
        <w:widowControl/>
      </w:pPr>
      <w:r>
        <w:t>Release decision</w:t>
      </w:r>
    </w:p>
    <w:p>
      <w:pPr>
        <w:widowControl/>
      </w:pPr>
      <w:r>
        <w:t>TR-091  P0 workflow failures block release. Runtime-specific limits can be accepted only if the capability matrix and native fallback still satisfy the PRD workflow; do not silently reduce the three-runtime scope. The release record includes builds, tested versions, test results, unresolved limits, recovery evidence, and benchmark data. P1 features must not delay the first complete P0 vertical slice.</w:t>
      </w:r>
    </w:p>
    <w:p>
      <w:pPr>
        <w:pStyle w:val="Heading1"/>
        <w:pageBreakBefore/>
        <w:widowControl/>
      </w:pPr>
      <w:r>
        <w:t>Traceability and technical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65" w:type="dxa"/>
          <w:bottom w:w="65" w:type="dxa"/>
          <w:left w:w="100" w:type="dxa"/>
          <w:right w:w="100" w:type="dxa"/>
        </w:tblCellMar>
      </w:tblPr>
      <w:tblGrid>
        <w:gridCol w:w="2880"/>
        <w:gridCol w:w="7056"/>
      </w:tblGrid>
      <w:tr>
        <w:trPr>
          <w:cantSplit/>
          <w:tblHeader/>
        </w:trPr>
        <w:tc>
          <w:tcPr>
            <w:tcW w:type="dxa" w:w="2880"/>
            <w:vAlign w:val="center"/>
            <w:shd w:fill="E8EDF2"/>
          </w:tcPr>
          <w:p>
            <w:pPr>
              <w:keepNext/>
              <w:spacing w:after="40" w:line="252" w:lineRule="auto"/>
            </w:pPr>
            <w:r>
              <w:rPr>
                <w:b/>
                <w:sz w:val="18"/>
              </w:rPr>
              <w:t>PRD requirements</w:t>
            </w:r>
          </w:p>
        </w:tc>
        <w:tc>
          <w:tcPr>
            <w:tcW w:type="dxa" w:w="7056"/>
            <w:vAlign w:val="center"/>
            <w:shd w:fill="E8EDF2"/>
          </w:tcPr>
          <w:p>
            <w:pPr>
              <w:keepNext/>
              <w:spacing w:after="40" w:line="252" w:lineRule="auto"/>
            </w:pPr>
            <w:r>
              <w:rPr>
                <w:b/>
                <w:sz w:val="18"/>
              </w:rPr>
              <w:t>Technical coverage</w:t>
            </w:r>
          </w:p>
        </w:tc>
      </w:tr>
      <w:tr>
        <w:trPr>
          <w:cantSplit/>
        </w:trPr>
        <w:tc>
          <w:tcPr>
            <w:tcW w:type="dxa" w:w="2880"/>
            <w:vAlign w:val="center"/>
          </w:tcPr>
          <w:p>
            <w:pPr>
              <w:spacing w:after="40" w:line="252" w:lineRule="auto"/>
            </w:pPr>
            <w:r>
              <w:rPr>
                <w:b w:val="0"/>
                <w:sz w:val="18"/>
              </w:rPr>
              <w:t>FR-001–003</w:t>
            </w:r>
          </w:p>
        </w:tc>
        <w:tc>
          <w:tcPr>
            <w:tcW w:type="dxa" w:w="7056"/>
            <w:vAlign w:val="center"/>
          </w:tcPr>
          <w:p>
            <w:pPr>
              <w:spacing w:after="40" w:line="252" w:lineRule="auto"/>
            </w:pPr>
            <w:r>
              <w:rPr>
                <w:b w:val="0"/>
                <w:sz w:val="18"/>
              </w:rPr>
              <w:t>TR-001, 020–023, 050; project/task/session identity and associations.</w:t>
            </w:r>
          </w:p>
        </w:tc>
      </w:tr>
      <w:tr>
        <w:trPr>
          <w:cantSplit/>
        </w:trPr>
        <w:tc>
          <w:tcPr>
            <w:tcW w:type="dxa" w:w="2880"/>
            <w:vAlign w:val="center"/>
          </w:tcPr>
          <w:p>
            <w:pPr>
              <w:spacing w:after="40" w:line="252" w:lineRule="auto"/>
            </w:pPr>
            <w:r>
              <w:rPr>
                <w:b w:val="0"/>
                <w:sz w:val="18"/>
              </w:rPr>
              <w:t>FR-010–018</w:t>
            </w:r>
          </w:p>
        </w:tc>
        <w:tc>
          <w:tcPr>
            <w:tcW w:type="dxa" w:w="7056"/>
            <w:vAlign w:val="center"/>
          </w:tcPr>
          <w:p>
            <w:pPr>
              <w:spacing w:after="40" w:line="252" w:lineRule="auto"/>
            </w:pPr>
            <w:r>
              <w:rPr>
                <w:b w:val="0"/>
                <w:sz w:val="18"/>
              </w:rPr>
              <w:t>TR-010–012, 030–035, 040–045; discovery, state, native controls, capability reports.</w:t>
            </w:r>
          </w:p>
        </w:tc>
      </w:tr>
      <w:tr>
        <w:trPr>
          <w:cantSplit/>
        </w:trPr>
        <w:tc>
          <w:tcPr>
            <w:tcW w:type="dxa" w:w="2880"/>
            <w:vAlign w:val="center"/>
          </w:tcPr>
          <w:p>
            <w:pPr>
              <w:spacing w:after="40" w:line="252" w:lineRule="auto"/>
            </w:pPr>
            <w:r>
              <w:rPr>
                <w:b w:val="0"/>
                <w:sz w:val="18"/>
              </w:rPr>
              <w:t>FR-020–025</w:t>
            </w:r>
          </w:p>
        </w:tc>
        <w:tc>
          <w:tcPr>
            <w:tcW w:type="dxa" w:w="7056"/>
            <w:vAlign w:val="center"/>
          </w:tcPr>
          <w:p>
            <w:pPr>
              <w:spacing w:after="40" w:line="252" w:lineRule="auto"/>
            </w:pPr>
            <w:r>
              <w:rPr>
                <w:b w:val="0"/>
                <w:sz w:val="18"/>
              </w:rPr>
              <w:t>TR-021–022, 060–066; findings, selected packets, excerpt bounds, synthesis, lineage.</w:t>
            </w:r>
          </w:p>
        </w:tc>
      </w:tr>
      <w:tr>
        <w:trPr>
          <w:cantSplit/>
        </w:trPr>
        <w:tc>
          <w:tcPr>
            <w:tcW w:type="dxa" w:w="2880"/>
            <w:vAlign w:val="center"/>
          </w:tcPr>
          <w:p>
            <w:pPr>
              <w:spacing w:after="40" w:line="252" w:lineRule="auto"/>
            </w:pPr>
            <w:r>
              <w:rPr>
                <w:b w:val="0"/>
                <w:sz w:val="18"/>
              </w:rPr>
              <w:t>FR-030–032 and 034–037</w:t>
            </w:r>
          </w:p>
        </w:tc>
        <w:tc>
          <w:tcPr>
            <w:tcW w:type="dxa" w:w="7056"/>
            <w:vAlign w:val="center"/>
          </w:tcPr>
          <w:p>
            <w:pPr>
              <w:spacing w:after="40" w:line="252" w:lineRule="auto"/>
            </w:pPr>
            <w:r>
              <w:rPr>
                <w:b w:val="0"/>
                <w:sz w:val="18"/>
              </w:rPr>
              <w:t>TR-001, 030–035, 040–045, 050–052; dashboard, attention, preview, recovery, native access.</w:t>
            </w:r>
          </w:p>
        </w:tc>
      </w:tr>
      <w:tr>
        <w:trPr>
          <w:cantSplit/>
        </w:trPr>
        <w:tc>
          <w:tcPr>
            <w:tcW w:type="dxa" w:w="2880"/>
            <w:vAlign w:val="center"/>
          </w:tcPr>
          <w:p>
            <w:pPr>
              <w:spacing w:after="40" w:line="252" w:lineRule="auto"/>
            </w:pPr>
            <w:r>
              <w:rPr>
                <w:b w:val="0"/>
                <w:sz w:val="18"/>
              </w:rPr>
              <w:t>FR-033 P1</w:t>
            </w:r>
          </w:p>
        </w:tc>
        <w:tc>
          <w:tcPr>
            <w:tcW w:type="dxa" w:w="7056"/>
            <w:vAlign w:val="center"/>
          </w:tcPr>
          <w:p>
            <w:pPr>
              <w:spacing w:after="40" w:line="252" w:lineRule="auto"/>
            </w:pPr>
            <w:r>
              <w:rPr>
                <w:b w:val="0"/>
                <w:sz w:val="18"/>
              </w:rPr>
              <w:t>Optional notifications use persisted attention/run events with safe payloads and user settings.</w:t>
            </w:r>
          </w:p>
        </w:tc>
      </w:tr>
      <w:tr>
        <w:trPr>
          <w:cantSplit/>
        </w:trPr>
        <w:tc>
          <w:tcPr>
            <w:tcW w:type="dxa" w:w="2880"/>
            <w:vAlign w:val="center"/>
          </w:tcPr>
          <w:p>
            <w:pPr>
              <w:spacing w:after="40" w:line="252" w:lineRule="auto"/>
            </w:pPr>
            <w:r>
              <w:rPr>
                <w:b w:val="0"/>
                <w:sz w:val="18"/>
              </w:rPr>
              <w:t>FR-040–042</w:t>
            </w:r>
          </w:p>
        </w:tc>
        <w:tc>
          <w:tcPr>
            <w:tcW w:type="dxa" w:w="7056"/>
            <w:vAlign w:val="center"/>
          </w:tcPr>
          <w:p>
            <w:pPr>
              <w:spacing w:after="40" w:line="252" w:lineRule="auto"/>
            </w:pPr>
            <w:r>
              <w:rPr>
                <w:b w:val="0"/>
                <w:sz w:val="18"/>
              </w:rPr>
              <w:t>TR-004, 020–023, 031–035, 080–084; incremental history, FTS, archiving and retention.</w:t>
            </w:r>
          </w:p>
        </w:tc>
      </w:tr>
      <w:tr>
        <w:trPr>
          <w:cantSplit/>
        </w:trPr>
        <w:tc>
          <w:tcPr>
            <w:tcW w:type="dxa" w:w="2880"/>
            <w:vAlign w:val="center"/>
          </w:tcPr>
          <w:p>
            <w:pPr>
              <w:spacing w:after="40" w:line="252" w:lineRule="auto"/>
            </w:pPr>
            <w:r>
              <w:rPr>
                <w:b w:val="0"/>
                <w:sz w:val="18"/>
              </w:rPr>
              <w:t>FR-050–051 P1</w:t>
            </w:r>
          </w:p>
        </w:tc>
        <w:tc>
          <w:tcPr>
            <w:tcW w:type="dxa" w:w="7056"/>
            <w:vAlign w:val="center"/>
          </w:tcPr>
          <w:p>
            <w:pPr>
              <w:spacing w:after="40" w:line="252" w:lineRule="auto"/>
            </w:pPr>
            <w:r>
              <w:rPr>
                <w:b w:val="0"/>
                <w:sz w:val="18"/>
              </w:rPr>
              <w:t>TR-070–072; Git metadata and explicit isolated worktrees.</w:t>
            </w:r>
          </w:p>
        </w:tc>
      </w:tr>
      <w:tr>
        <w:trPr>
          <w:cantSplit/>
        </w:trPr>
        <w:tc>
          <w:tcPr>
            <w:tcW w:type="dxa" w:w="2880"/>
            <w:vAlign w:val="center"/>
          </w:tcPr>
          <w:p>
            <w:pPr>
              <w:spacing w:after="40" w:line="252" w:lineRule="auto"/>
            </w:pPr>
            <w:r>
              <w:rPr>
                <w:b w:val="0"/>
                <w:sz w:val="18"/>
              </w:rPr>
              <w:t>NFR-01–11</w:t>
            </w:r>
          </w:p>
        </w:tc>
        <w:tc>
          <w:tcPr>
            <w:tcW w:type="dxa" w:w="7056"/>
            <w:vAlign w:val="center"/>
          </w:tcPr>
          <w:p>
            <w:pPr>
              <w:spacing w:after="40" w:line="252" w:lineRule="auto"/>
            </w:pPr>
            <w:r>
              <w:rPr>
                <w:b w:val="0"/>
                <w:sz w:val="18"/>
              </w:rPr>
              <w:t>TR-004, 030–035, 051–052, 070–084, 090–091; safety, speed, resource use and verification.</w:t>
            </w:r>
          </w:p>
        </w:tc>
      </w:tr>
    </w:tbl>
    <w:p>
      <w:pPr>
        <w:widowControl/>
        <w:spacing w:after="40" w:line="40" w:lineRule="exact" w:before="0"/>
      </w:pPr>
    </w:p>
    <w:p>
      <w:pPr>
        <w:pStyle w:val="Heading2"/>
        <w:widowControl/>
      </w:pPr>
      <w:r>
        <w:t>Decisions to validate before broad implementation</w:t>
      </w:r>
    </w:p>
    <w:p>
      <w:pPr>
        <w:pStyle w:val="ListBullet"/>
        <w:widowControl/>
      </w:pPr>
      <w:r>
        <w:t>Adapter transports and compatible account flows; native terminal attachment; runtime survival across service restart; exact supported versions.</w:t>
      </w:r>
    </w:p>
    <w:p>
      <w:pPr>
        <w:pStyle w:val="ListBullet"/>
        <w:widowControl/>
      </w:pPr>
      <w:r>
        <w:t>User-data directory versus optional repository task exports; retention defaults and payload limits; task switching within a resumed native session.</w:t>
      </w:r>
    </w:p>
    <w:p>
      <w:pPr>
        <w:pStyle w:val="ListBullet"/>
        <w:widowControl/>
      </w:pPr>
      <w:r>
        <w:t>Whether optional MCP and worktrees are needed for the first accepted workflow; packaging of any adapter sidecar; reference performance dataset.</w:t>
      </w:r>
    </w:p>
    <w:p>
      <w:pPr>
        <w:pStyle w:val="Heading2"/>
        <w:widowControl/>
      </w:pPr>
      <w:r>
        <w:t>Delivery sequence</w:t>
      </w:r>
    </w:p>
    <w:p>
      <w:pPr>
        <w:widowControl/>
      </w:pPr>
      <w:r>
        <w:t>Phase 0 validates transports. Phase 1 proves one complete managed session with durable controls and live activity. Phase 2 adds shared tasks, all adapters, attention, and recovery. Phase 3 adds findings, preview, lineage, and synthesis. Phase 4 completes history search, packaging, benchmarks, security, and accessibility checks. Each phase exits on demonstrated behavior, not screen count.</w:t>
      </w:r>
    </w:p>
    <w:p>
      <w:pPr>
        <w:pStyle w:val="Heading2"/>
        <w:widowControl/>
      </w:pPr>
      <w:r>
        <w:t>Source baseline and integration references</w:t>
      </w:r>
    </w:p>
    <w:p>
      <w:pPr>
        <w:widowControl/>
      </w:pPr>
      <w:r>
        <w:t>Robin PRD v0.2, October 14, 2026, is the product authority. This technical specification version 0.1 adds proposed engineering detail. Public interfaces below were reviewed on October 14, 2026; validate exact installed versions before implementation.</w:t>
      </w:r>
    </w:p>
    <w:p>
      <w:pPr>
        <w:widowControl/>
      </w:pPr>
      <w:r>
        <w:t>OpenAI Codex app-server documentation</w:t>
        <w:br/>
        <w:t>https://developers.openai.com/codex/app-server/</w:t>
      </w:r>
    </w:p>
    <w:p>
      <w:pPr>
        <w:widowControl/>
      </w:pPr>
      <w:r>
        <w:t>Anthropic Claude Agent SDK overview</w:t>
        <w:br/>
        <w:t>https://code.claude.com/docs/en/agent-sdk/overview</w:t>
      </w:r>
    </w:p>
    <w:p>
      <w:pPr>
        <w:widowControl/>
      </w:pPr>
      <w:r>
        <w:t>Pi RPC mode and linked protocol references</w:t>
        <w:br/>
        <w:t>https://github.com/earendil-works/pi/blob/main/packages/coding-agent/docs/rpc.md</w:t>
      </w:r>
    </w:p>
    <w:sectPr w:rsidR="00FC693F" w:rsidRPr="0006063C" w:rsidSect="00034616">
      <w:footerReference w:type="default" r:id="rId9"/>
      <w:pgSz w:w="12240" w:h="15840"/>
      <w:pgMar w:top="864" w:right="1152" w:bottom="864"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5B6472"/>
        <w:sz w:val="16"/>
      </w:rPr>
      <w:t xml:space="preserve">Robin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DejaVu Sans" w:hAnsi="DejaVu Sans"/>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DejaVu Sans" w:hAnsi="DejaVu Sans"/>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160" w:after="100"/>
      <w:outlineLvl w:val="1"/>
    </w:pPr>
    <w:rPr>
      <w:rFonts w:asciiTheme="majorHAnsi" w:eastAsiaTheme="majorEastAsia" w:hAnsiTheme="majorHAnsi" w:cstheme="majorBidi" w:ascii="DejaVu Sans" w:hAnsi="DejaVu Sans"/>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DejaVu Sans" w:hAnsi="DejaVu Sans"/>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DejaVu Sans" w:hAnsi="DejaVu Sans"/>
      <w:b/>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DejaVu Sans" w:hAnsi="DejaVu Sans"/>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contextualSpacing/>
    </w:pPr>
    <w:rPr>
      <w:rFonts w:ascii="DejaVu Sans" w:hAnsi="DejaVu Sans"/>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contextualSpacing/>
    </w:pPr>
    <w:rPr>
      <w:rFonts w:ascii="DejaVu Sans" w:hAnsi="DejaVu Sans"/>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Robin Technical Requirements</dc:title>
  <dc:subject>Implementation specification for the Robin local agent workspace</dc:subject>
  <dc:creator>Noela Jean Bunag</dc:creator>
  <cp:keywords/>
  <dc:description>generated by python-docx</dc:description>
  <cp:lastModifiedBy/>
  <cp:revision>1</cp:revision>
  <dcterms:created xsi:type="dcterms:W3CDTF">2013-12-23T23:15:00Z</dcterms:created>
  <dcterms:modified xsi:type="dcterms:W3CDTF">2013-12-23T23:15:00Z</dcterms:modified>
  <cp:category/>
</cp:coreProperties>
</file>