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rticle-scientifique-brouillon-version-2"/>
    <w:p>
      <w:pPr>
        <w:pStyle w:val="Heading1"/>
      </w:pPr>
      <w:r>
        <w:t xml:space="preserve">ARTICLE SCIENTIFIQUE — BROUILLON VERSION 2</w:t>
      </w:r>
    </w:p>
    <w:bookmarkStart w:id="9" w:name="Xe867ed070a0fc32c62e3f5021c7658436beb794"/>
    <w:p>
      <w:pPr>
        <w:pStyle w:val="Heading2"/>
      </w:pPr>
      <w:r>
        <w:t xml:space="preserve">Évaluation comparative Monte Carlo des méthodes d’imputation de données manquantes en recherche clinique cardiométabolique : mécanismes MCAR et MAR à 10 %, 20 % et 40 %</w:t>
      </w:r>
    </w:p>
    <w:p>
      <w:r>
        <w:pict>
          <v:rect style="width:0;height:1.5pt" o:hralign="center" o:hrstd="t" o:hr="t"/>
        </w:pict>
      </w:r>
    </w:p>
    <w:p>
      <w:pPr>
        <w:pStyle w:val="FirstParagraph"/>
      </w:pPr>
      <w:r>
        <w:rPr>
          <w:b/>
          <w:bCs/>
        </w:rPr>
        <w:t xml:space="preserve">Auteurs</w:t>
      </w:r>
      <w:r>
        <w:t xml:space="preserve"> </w:t>
      </w:r>
      <w:r>
        <w:t xml:space="preserve">: Pipeline automatisé de simulation reproductible</w:t>
      </w:r>
      <w:r>
        <w:br/>
      </w:r>
      <w:r>
        <w:rPr>
          <w:b/>
          <w:bCs/>
        </w:rPr>
        <w:t xml:space="preserve">Date</w:t>
      </w:r>
      <w:r>
        <w:t xml:space="preserve"> </w:t>
      </w:r>
      <w:r>
        <w:t xml:space="preserve">: Juillet 2026</w:t>
      </w:r>
      <w:r>
        <w:br/>
      </w:r>
      <w:r>
        <w:rPr>
          <w:b/>
          <w:bCs/>
        </w:rPr>
        <w:t xml:space="preserve">Environnement</w:t>
      </w:r>
      <w:r>
        <w:t xml:space="preserve"> </w:t>
      </w:r>
      <w:r>
        <w:t xml:space="preserve">: Python 3.13.5, pandas 2.3.1, scikit-learn 1.7.0, scipy 1.16.0</w:t>
      </w:r>
      <w:r>
        <w:br/>
      </w:r>
      <w:r>
        <w:rPr>
          <w:b/>
          <w:bCs/>
        </w:rPr>
        <w:t xml:space="preserve">Reproductibilité</w:t>
      </w:r>
      <w:r>
        <w:t xml:space="preserve"> </w:t>
      </w:r>
      <w:r>
        <w:t xml:space="preserve">: Graine aléatoire fixée (seed = 42), versions logicielles enregistrées</w:t>
      </w:r>
      <w:r>
        <w:br/>
      </w:r>
      <w:r>
        <w:rPr>
          <w:b/>
          <w:bCs/>
        </w:rPr>
        <w:t xml:space="preserve">Code source</w:t>
      </w:r>
      <w:r>
        <w:t xml:space="preserve"> </w:t>
      </w:r>
      <w:r>
        <w:t xml:space="preserve">:</w:t>
      </w:r>
      <w:r>
        <w:t xml:space="preserve"> </w:t>
      </w:r>
      <w:r>
        <w:rPr>
          <w:rStyle w:val="VerbatimChar"/>
        </w:rPr>
        <w:t xml:space="preserve">simulation_v2.py</w:t>
      </w:r>
    </w:p>
    <w:p>
      <w:r>
        <w:pict>
          <v:rect style="width:0;height:1.5pt" o:hralign="center" o:hrstd="t" o:hr="t"/>
        </w:pict>
      </w:r>
    </w:p>
    <w:bookmarkEnd w:id="9"/>
    <w:bookmarkEnd w:id="10"/>
    <w:bookmarkStart w:id="29" w:name="section-1-matériel-et-méthodes"/>
    <w:p>
      <w:pPr>
        <w:pStyle w:val="Heading1"/>
      </w:pPr>
      <w:r>
        <w:t xml:space="preserve">SECTION 1 : MATÉRIEL ET MÉTHODES</w:t>
      </w:r>
    </w:p>
    <w:bookmarkStart w:id="14" w:name="description-de-la-base-de-données"/>
    <w:p>
      <w:pPr>
        <w:pStyle w:val="Heading2"/>
      </w:pPr>
      <w:r>
        <w:t xml:space="preserve">1.1 Description de la base de données</w:t>
      </w:r>
    </w:p>
    <w:bookmarkStart w:id="11" w:name="population-étudiée"/>
    <w:p>
      <w:pPr>
        <w:pStyle w:val="Heading3"/>
      </w:pPr>
      <w:r>
        <w:t xml:space="preserve">Population étudiée</w:t>
      </w:r>
    </w:p>
    <w:p>
      <w:pPr>
        <w:pStyle w:val="FirstParagraph"/>
      </w:pPr>
      <w:r>
        <w:t xml:space="preserve">L’étude s’appuie sur une base de données cliniques issue d’une cohorte monocentrique de</w:t>
      </w:r>
      <w:r>
        <w:t xml:space="preserve"> </w:t>
      </w:r>
      <w:r>
        <w:rPr>
          <w:b/>
          <w:bCs/>
        </w:rPr>
        <w:t xml:space="preserve">312 sujets</w:t>
      </w:r>
      <w:r>
        <w:t xml:space="preserve"> </w:t>
      </w:r>
      <w:r>
        <w:t xml:space="preserve">(âge moyen :</w:t>
      </w:r>
      <w:r>
        <w:t xml:space="preserve"> </w:t>
      </w:r>
      <m:oMath>
        <m:r>
          <m:t>57</m:t>
        </m:r>
        <m:r>
          <m:rPr>
            <m:sty m:val="p"/>
          </m:rPr>
          <m:t>,</m:t>
        </m:r>
        <m:r>
          <m:t>2</m:t>
        </m:r>
        <m:r>
          <m:rPr>
            <m:sty m:val="p"/>
          </m:rPr>
          <m:t>±</m:t>
        </m:r>
        <m:r>
          <m:t>11</m:t>
        </m:r>
        <m:r>
          <m:rPr>
            <m:sty m:val="p"/>
          </m:rPr>
          <m:t>,</m:t>
        </m:r>
        <m:r>
          <m:t>7</m:t>
        </m:r>
      </m:oMath>
      <w:r>
        <w:t xml:space="preserve"> </w:t>
      </w:r>
      <w:r>
        <w:t xml:space="preserve">ans ; sex-ratio : 52,9 % féminin, 47,1 % masculin). La base comporte</w:t>
      </w:r>
      <w:r>
        <w:t xml:space="preserve"> </w:t>
      </w:r>
      <w:r>
        <w:rPr>
          <w:b/>
          <w:bCs/>
        </w:rPr>
        <w:t xml:space="preserve">33 variables</w:t>
      </w:r>
      <w:r>
        <w:t xml:space="preserve"> </w:t>
      </w:r>
      <w:r>
        <w:t xml:space="preserve">couvrant les domaines suivants :</w:t>
      </w:r>
    </w:p>
    <w:tbl>
      <w:tblPr>
        <w:tblStyle w:val="Table"/>
        <w:tblW w:type="pct" w:w="5000"/>
        <w:tblLayout w:type="fixed"/>
        <w:tblLook w:firstRow="1" w:lastRow="0" w:firstColumn="0" w:lastColumn="0" w:noHBand="0" w:noVBand="0" w:val="0020"/>
      </w:tblPr>
      <w:tblGrid>
        <w:gridCol w:w="1926"/>
        <w:gridCol w:w="2354"/>
        <w:gridCol w:w="3638"/>
      </w:tblGrid>
      <w:tr>
        <w:trPr>
          <w:tblHeader w:val="on"/>
        </w:trPr>
        <w:tc>
          <w:tcPr/>
          <w:p>
            <w:pPr>
              <w:pStyle w:val="Compact"/>
            </w:pPr>
            <w:r>
              <w:t xml:space="preserve">Domaine</w:t>
            </w:r>
          </w:p>
        </w:tc>
        <w:tc>
          <w:tcPr/>
          <w:p>
            <w:pPr>
              <w:pStyle w:val="Compact"/>
            </w:pPr>
            <w:r>
              <w:t xml:space="preserve">Variables</w:t>
            </w:r>
          </w:p>
        </w:tc>
        <w:tc>
          <w:tcPr/>
          <w:p>
            <w:pPr>
              <w:pStyle w:val="Compact"/>
            </w:pPr>
            <w:r>
              <w:t xml:space="preserve">Type prédominant</w:t>
            </w:r>
          </w:p>
        </w:tc>
      </w:tr>
      <w:tr>
        <w:tc>
          <w:tcPr/>
          <w:p>
            <w:pPr>
              <w:pStyle w:val="Compact"/>
            </w:pPr>
            <w:r>
              <w:t xml:space="preserve">Anthropométrie</w:t>
            </w:r>
          </w:p>
        </w:tc>
        <w:tc>
          <w:tcPr/>
          <w:p>
            <w:pPr>
              <w:pStyle w:val="Compact"/>
            </w:pPr>
            <w:r>
              <w:t xml:space="preserve">Âge, Sexe, IMC, Tour de taille (TT)</w:t>
            </w:r>
          </w:p>
        </w:tc>
        <w:tc>
          <w:tcPr/>
          <w:p>
            <w:pPr>
              <w:pStyle w:val="Compact"/>
            </w:pPr>
            <w:r>
              <w:t xml:space="preserve">Continue asymétrique</w:t>
            </w:r>
          </w:p>
        </w:tc>
      </w:tr>
      <w:tr>
        <w:tc>
          <w:tcPr/>
          <w:p>
            <w:pPr>
              <w:pStyle w:val="Compact"/>
            </w:pPr>
            <w:r>
              <w:t xml:space="preserve">Hémodynamique</w:t>
            </w:r>
          </w:p>
        </w:tc>
        <w:tc>
          <w:tcPr/>
          <w:p>
            <w:pPr>
              <w:pStyle w:val="Compact"/>
            </w:pPr>
            <w:r>
              <w:t xml:space="preserve">PAS, PAD, HTA, HTS/HTD</w:t>
            </w:r>
          </w:p>
        </w:tc>
        <w:tc>
          <w:tcPr/>
          <w:p>
            <w:pPr>
              <w:pStyle w:val="Compact"/>
            </w:pPr>
            <w:r>
              <w:t xml:space="preserve">Mixte</w:t>
            </w:r>
          </w:p>
        </w:tc>
      </w:tr>
      <w:tr>
        <w:tc>
          <w:tcPr/>
          <w:p>
            <w:pPr>
              <w:pStyle w:val="Compact"/>
            </w:pPr>
            <w:r>
              <w:t xml:space="preserve">Métabolisme lipidique</w:t>
            </w:r>
          </w:p>
        </w:tc>
        <w:tc>
          <w:tcPr/>
          <w:p>
            <w:pPr>
              <w:pStyle w:val="Compact"/>
            </w:pPr>
            <w:r>
              <w:t xml:space="preserve">Prot, HDL, Totc, LDLc, TG, Non HDL, Ratios lipidiques</w:t>
            </w:r>
          </w:p>
        </w:tc>
        <w:tc>
          <w:tcPr/>
          <w:p>
            <w:pPr>
              <w:pStyle w:val="Compact"/>
            </w:pPr>
            <w:r>
              <w:t xml:space="preserve">Continue asymétrique</w:t>
            </w:r>
          </w:p>
        </w:tc>
      </w:tr>
      <w:tr>
        <w:tc>
          <w:tcPr/>
          <w:p>
            <w:pPr>
              <w:pStyle w:val="Compact"/>
            </w:pPr>
            <w:r>
              <w:t xml:space="preserve">Métabolisme glucidique</w:t>
            </w:r>
          </w:p>
        </w:tc>
        <w:tc>
          <w:tcPr/>
          <w:p>
            <w:pPr>
              <w:pStyle w:val="Compact"/>
            </w:pPr>
            <w:r>
              <w:t xml:space="preserve">Glu, Ins, HOMAB%, HOMA-IR, HOMAS%, Profil glycémique</w:t>
            </w:r>
          </w:p>
        </w:tc>
        <w:tc>
          <w:tcPr/>
          <w:p>
            <w:pPr>
              <w:pStyle w:val="Compact"/>
            </w:pPr>
            <w:r>
              <w:t xml:space="preserve">Continue asymétrique / Ordinal</w:t>
            </w:r>
          </w:p>
        </w:tc>
      </w:tr>
      <w:tr>
        <w:tc>
          <w:tcPr/>
          <w:p>
            <w:pPr>
              <w:pStyle w:val="Compact"/>
            </w:pPr>
            <w:r>
              <w:t xml:space="preserve">Inflammation</w:t>
            </w:r>
          </w:p>
        </w:tc>
        <w:tc>
          <w:tcPr/>
          <w:p>
            <w:pPr>
              <w:pStyle w:val="Compact"/>
            </w:pPr>
            <w:r>
              <w:t xml:space="preserve">PCSK9, Adipo HMW</w:t>
            </w:r>
          </w:p>
        </w:tc>
        <w:tc>
          <w:tcPr/>
          <w:p>
            <w:pPr>
              <w:pStyle w:val="Compact"/>
            </w:pPr>
            <w:r>
              <w:t xml:space="preserve">Continue fortement asymétrique</w:t>
            </w:r>
          </w:p>
        </w:tc>
      </w:tr>
      <w:tr>
        <w:tc>
          <w:tcPr/>
          <w:p>
            <w:pPr>
              <w:pStyle w:val="Compact"/>
            </w:pPr>
            <w:r>
              <w:t xml:space="preserve">Pharmacologie</w:t>
            </w:r>
          </w:p>
        </w:tc>
        <w:tc>
          <w:tcPr/>
          <w:p>
            <w:pPr>
              <w:pStyle w:val="Compact"/>
            </w:pPr>
            <w:r>
              <w:t xml:space="preserve">Glibenclamide, Insuline, Lasilix, Lexomil, Metformine</w:t>
            </w:r>
          </w:p>
        </w:tc>
        <w:tc>
          <w:tcPr/>
          <w:p>
            <w:pPr>
              <w:pStyle w:val="Compact"/>
            </w:pPr>
            <w:r>
              <w:t xml:space="preserve">Continue / Quasi constante</w:t>
            </w:r>
          </w:p>
        </w:tc>
      </w:tr>
    </w:tbl>
    <w:bookmarkEnd w:id="11"/>
    <w:bookmarkStart w:id="12" w:name="audit-qualité"/>
    <w:p>
      <w:pPr>
        <w:pStyle w:val="Heading3"/>
      </w:pPr>
      <w:r>
        <w:t xml:space="preserve">Audit qualité</w:t>
      </w:r>
    </w:p>
    <w:p>
      <w:pPr>
        <w:pStyle w:val="FirstParagraph"/>
      </w:pPr>
      <w:r>
        <w:t xml:space="preserve">L’audit systématique de la base a révélé :</w:t>
      </w:r>
    </w:p>
    <w:p>
      <w:pPr>
        <w:pStyle w:val="Compact"/>
        <w:numPr>
          <w:ilvl w:val="0"/>
          <w:numId w:val="1001"/>
        </w:numPr>
      </w:pPr>
      <w:r>
        <w:rPr>
          <w:b/>
          <w:bCs/>
        </w:rPr>
        <w:t xml:space="preserve">Variables constantes</w:t>
      </w:r>
      <w:r>
        <w:t xml:space="preserve"> </w:t>
      </w:r>
      <w:r>
        <w:t xml:space="preserve">: Lasilix 40 mg et Lexomil 6 mg (100 % des sujets à 0 mg). Ces variables ont été exclues des analyses multivariées.</w:t>
      </w:r>
    </w:p>
    <w:p>
      <w:pPr>
        <w:pStyle w:val="Compact"/>
        <w:numPr>
          <w:ilvl w:val="0"/>
          <w:numId w:val="1001"/>
        </w:numPr>
      </w:pPr>
      <w:r>
        <w:rPr>
          <w:b/>
          <w:bCs/>
        </w:rPr>
        <w:t xml:space="preserve">Corrélations extrêmes</w:t>
      </w:r>
      <w:r>
        <w:t xml:space="preserve"> </w:t>
      </w:r>
      <w:r>
        <w:t xml:space="preserve">(</w:t>
      </w:r>
      <m:oMath>
        <m:r>
          <m:t>r</m:t>
        </m:r>
        <m:r>
          <m:rPr>
            <m:sty m:val="p"/>
          </m:rPr>
          <m:t>&gt;</m:t>
        </m:r>
        <m:r>
          <m:t>0</m:t>
        </m:r>
        <m:r>
          <m:rPr>
            <m:sty m:val="p"/>
          </m:rPr>
          <m:t>,</m:t>
        </m:r>
        <m:r>
          <m:t>95</m:t>
        </m:r>
      </m:oMath>
      <w:r>
        <w:t xml:space="preserve">) identifiées pour 4 paires :</w:t>
      </w:r>
    </w:p>
    <w:p>
      <w:pPr>
        <w:pStyle w:val="Compact"/>
        <w:numPr>
          <w:ilvl w:val="1"/>
          <w:numId w:val="1002"/>
        </w:numPr>
      </w:pPr>
      <w:r>
        <w:t xml:space="preserve">LDLc</w:t>
      </w:r>
      <w:r>
        <w:t xml:space="preserve"> </w:t>
      </w:r>
      <m:oMath>
        <m:r>
          <m:rPr>
            <m:sty m:val="p"/>
          </m:rPr>
          <m:t>↔</m:t>
        </m:r>
      </m:oMath>
      <w:r>
        <w:t xml:space="preserve"> </w:t>
      </w:r>
      <w:r>
        <w:t xml:space="preserve">Non HDL :</w:t>
      </w:r>
      <w:r>
        <w:t xml:space="preserve"> </w:t>
      </w:r>
      <m:oMath>
        <m:r>
          <m:t>r</m:t>
        </m:r>
        <m:r>
          <m:rPr>
            <m:sty m:val="p"/>
          </m:rPr>
          <m:t>=</m:t>
        </m:r>
        <m:r>
          <m:t>0</m:t>
        </m:r>
        <m:r>
          <m:rPr>
            <m:sty m:val="p"/>
          </m:rPr>
          <m:t>,</m:t>
        </m:r>
        <m:r>
          <m:t>953</m:t>
        </m:r>
      </m:oMath>
    </w:p>
    <w:p>
      <w:pPr>
        <w:pStyle w:val="Compact"/>
        <w:numPr>
          <w:ilvl w:val="1"/>
          <w:numId w:val="1002"/>
        </w:numPr>
      </w:pPr>
      <w:r>
        <w:t xml:space="preserve">Glu</w:t>
      </w:r>
      <w:r>
        <w:t xml:space="preserve"> </w:t>
      </w:r>
      <m:oMath>
        <m:r>
          <m:rPr>
            <m:sty m:val="p"/>
          </m:rPr>
          <m:t>↔</m:t>
        </m:r>
      </m:oMath>
      <w:r>
        <w:t xml:space="preserve"> </w:t>
      </w:r>
      <w:r>
        <w:t xml:space="preserve">lu(mmol/l) :</w:t>
      </w:r>
      <w:r>
        <w:t xml:space="preserve"> </w:t>
      </w:r>
      <m:oMath>
        <m:r>
          <m:t>r</m:t>
        </m:r>
        <m:r>
          <m:rPr>
            <m:sty m:val="p"/>
          </m:rPr>
          <m:t>=</m:t>
        </m:r>
        <m:r>
          <m:t>1</m:t>
        </m:r>
        <m:r>
          <m:rPr>
            <m:sty m:val="p"/>
          </m:rPr>
          <m:t>,</m:t>
        </m:r>
        <m:r>
          <m:t>000</m:t>
        </m:r>
      </m:oMath>
      <w:r>
        <w:t xml:space="preserve"> </w:t>
      </w:r>
      <w:r>
        <w:t xml:space="preserve">(redondance parfaite, conversion d’unités)</w:t>
      </w:r>
    </w:p>
    <w:p>
      <w:pPr>
        <w:pStyle w:val="Compact"/>
        <w:numPr>
          <w:ilvl w:val="1"/>
          <w:numId w:val="1002"/>
        </w:numPr>
      </w:pPr>
      <w:r>
        <w:t xml:space="preserve">Ins (µUI/mL)</w:t>
      </w:r>
      <w:r>
        <w:t xml:space="preserve"> </w:t>
      </w:r>
      <m:oMath>
        <m:r>
          <m:rPr>
            <m:sty m:val="p"/>
          </m:rPr>
          <m:t>↔</m:t>
        </m:r>
      </m:oMath>
      <w:r>
        <w:t xml:space="preserve"> </w:t>
      </w:r>
      <w:r>
        <w:t xml:space="preserve">Insu pmol/L :</w:t>
      </w:r>
      <w:r>
        <w:t xml:space="preserve"> </w:t>
      </w:r>
      <m:oMath>
        <m:r>
          <m:t>r</m:t>
        </m:r>
        <m:r>
          <m:rPr>
            <m:sty m:val="p"/>
          </m:rPr>
          <m:t>=</m:t>
        </m:r>
        <m:r>
          <m:t>1</m:t>
        </m:r>
        <m:r>
          <m:rPr>
            <m:sty m:val="p"/>
          </m:rPr>
          <m:t>,</m:t>
        </m:r>
        <m:r>
          <m:t>000</m:t>
        </m:r>
      </m:oMath>
      <w:r>
        <w:t xml:space="preserve"> </w:t>
      </w:r>
      <w:r>
        <w:t xml:space="preserve">(redondance parfaite)</w:t>
      </w:r>
    </w:p>
    <w:p>
      <w:pPr>
        <w:pStyle w:val="Compact"/>
        <w:numPr>
          <w:ilvl w:val="1"/>
          <w:numId w:val="1002"/>
        </w:numPr>
      </w:pPr>
      <w:r>
        <w:t xml:space="preserve">Ratio Tot-c/HDL</w:t>
      </w:r>
      <w:r>
        <w:t xml:space="preserve"> </w:t>
      </w:r>
      <m:oMath>
        <m:r>
          <m:rPr>
            <m:sty m:val="p"/>
          </m:rPr>
          <m:t>↔</m:t>
        </m:r>
      </m:oMath>
      <w:r>
        <w:t xml:space="preserve"> </w:t>
      </w:r>
      <w:r>
        <w:t xml:space="preserve">Ratio LDL-c/HDL :</w:t>
      </w:r>
      <w:r>
        <w:t xml:space="preserve"> </w:t>
      </w:r>
      <m:oMath>
        <m:r>
          <m:t>r</m:t>
        </m:r>
        <m:r>
          <m:rPr>
            <m:sty m:val="p"/>
          </m:rPr>
          <m:t>=</m:t>
        </m:r>
        <m:r>
          <m:t>0</m:t>
        </m:r>
        <m:r>
          <m:rPr>
            <m:sty m:val="p"/>
          </m:rPr>
          <m:t>,</m:t>
        </m:r>
        <m:r>
          <m:t>997</m:t>
        </m:r>
      </m:oMath>
    </w:p>
    <w:p>
      <w:pPr>
        <w:pStyle w:val="Compact"/>
        <w:numPr>
          <w:ilvl w:val="0"/>
          <w:numId w:val="1001"/>
        </w:numPr>
      </w:pPr>
      <w:r>
        <w:rPr>
          <w:b/>
          <w:bCs/>
        </w:rPr>
        <w:t xml:space="preserve">Aucune valeur aberrante</w:t>
      </w:r>
      <w:r>
        <w:t xml:space="preserve"> </w:t>
      </w:r>
      <w:r>
        <w:t xml:space="preserve">nécessitant une exclusion n’a été détectée après inspection des distributions.</w:t>
      </w:r>
    </w:p>
    <w:p>
      <w:pPr>
        <w:pStyle w:val="Compact"/>
        <w:numPr>
          <w:ilvl w:val="0"/>
          <w:numId w:val="1001"/>
        </w:numPr>
      </w:pPr>
      <w:r>
        <w:rPr>
          <w:b/>
          <w:bCs/>
        </w:rPr>
        <w:t xml:space="preserve">Données originales complètes</w:t>
      </w:r>
      <w:r>
        <w:t xml:space="preserve"> </w:t>
      </w:r>
      <w:r>
        <w:t xml:space="preserve">: aucun missing natif dans les colonnes principales.</w:t>
      </w:r>
    </w:p>
    <w:bookmarkEnd w:id="12"/>
    <w:bookmarkStart w:id="13" w:name="X36156f496a13b91b68fba2e4c3bce9c024f3d4c"/>
    <w:p>
      <w:pPr>
        <w:pStyle w:val="Heading3"/>
      </w:pPr>
      <w:r>
        <w:t xml:space="preserve">Classification et distribution des variables</w:t>
      </w:r>
    </w:p>
    <w:tbl>
      <w:tblPr>
        <w:tblStyle w:val="Table"/>
        <w:tblW w:type="pct" w:w="5000"/>
        <w:tblLayout w:type="fixed"/>
        <w:tblLook w:firstRow="1" w:lastRow="0" w:firstColumn="0" w:lastColumn="0" w:noHBand="0" w:noVBand="0" w:val="0020"/>
      </w:tblPr>
      <w:tblGrid>
        <w:gridCol w:w="2754"/>
        <w:gridCol w:w="1033"/>
        <w:gridCol w:w="1033"/>
        <w:gridCol w:w="3099"/>
      </w:tblGrid>
      <w:tr>
        <w:trPr>
          <w:tblHeader w:val="on"/>
        </w:trPr>
        <w:tc>
          <w:tcPr/>
          <w:p>
            <w:pPr>
              <w:pStyle w:val="Compact"/>
            </w:pPr>
            <w:r>
              <w:t xml:space="preserve">Classe</w:t>
            </w:r>
          </w:p>
        </w:tc>
        <w:tc>
          <w:tcPr/>
          <w:p>
            <w:pPr>
              <w:pStyle w:val="Compact"/>
            </w:pPr>
            <w:r>
              <w:t xml:space="preserve">n</w:t>
            </w:r>
          </w:p>
        </w:tc>
        <w:tc>
          <w:tcPr/>
          <w:p>
            <w:pPr>
              <w:pStyle w:val="Compact"/>
            </w:pPr>
            <w:r>
              <w:t xml:space="preserve">%</w:t>
            </w:r>
          </w:p>
        </w:tc>
        <w:tc>
          <w:tcPr/>
          <w:p>
            <w:pPr>
              <w:pStyle w:val="Compact"/>
            </w:pPr>
            <w:r>
              <w:t xml:space="preserve">Exemples</w:t>
            </w:r>
          </w:p>
        </w:tc>
      </w:tr>
      <w:tr>
        <w:tc>
          <w:tcPr/>
          <w:p>
            <w:pPr>
              <w:pStyle w:val="Compact"/>
            </w:pPr>
            <w:r>
              <w:t xml:space="preserve">Continue normale</w:t>
            </w:r>
          </w:p>
        </w:tc>
        <w:tc>
          <w:tcPr/>
          <w:p>
            <w:pPr>
              <w:pStyle w:val="Compact"/>
            </w:pPr>
            <w:r>
              <w:t xml:space="preserve">2</w:t>
            </w:r>
          </w:p>
        </w:tc>
        <w:tc>
          <w:tcPr/>
          <w:p>
            <w:pPr>
              <w:pStyle w:val="Compact"/>
            </w:pPr>
            <w:r>
              <w:t xml:space="preserve">6,1 %</w:t>
            </w:r>
          </w:p>
        </w:tc>
        <w:tc>
          <w:tcPr/>
          <w:p>
            <w:pPr>
              <w:pStyle w:val="Compact"/>
            </w:pPr>
            <w:r>
              <w:t xml:space="preserve">Age, Totc (Shapiro-Wilk</w:t>
            </w:r>
            <w:r>
              <w:t xml:space="preserve"> </w:t>
            </w:r>
            <m:oMath>
              <m:r>
                <m:t>p</m:t>
              </m:r>
              <m:r>
                <m:rPr>
                  <m:sty m:val="p"/>
                </m:rPr>
                <m:t>&gt;</m:t>
              </m:r>
              <m:r>
                <m:t>0</m:t>
              </m:r>
              <m:r>
                <m:rPr>
                  <m:sty m:val="p"/>
                </m:rPr>
                <m:t>,</m:t>
              </m:r>
              <m:r>
                <m:t>05</m:t>
              </m:r>
            </m:oMath>
            <w:r>
              <w:t xml:space="preserve">)</w:t>
            </w:r>
          </w:p>
        </w:tc>
      </w:tr>
      <w:tr>
        <w:tc>
          <w:tcPr/>
          <w:p>
            <w:pPr>
              <w:pStyle w:val="Compact"/>
            </w:pPr>
            <w:r>
              <w:t xml:space="preserve">Continue asymétrique</w:t>
            </w:r>
          </w:p>
        </w:tc>
        <w:tc>
          <w:tcPr/>
          <w:p>
            <w:pPr>
              <w:pStyle w:val="Compact"/>
            </w:pPr>
            <w:r>
              <w:t xml:space="preserve">23</w:t>
            </w:r>
          </w:p>
        </w:tc>
        <w:tc>
          <w:tcPr/>
          <w:p>
            <w:pPr>
              <w:pStyle w:val="Compact"/>
            </w:pPr>
            <w:r>
              <w:t xml:space="preserve">69,7 %</w:t>
            </w:r>
          </w:p>
        </w:tc>
        <w:tc>
          <w:tcPr/>
          <w:p>
            <w:pPr>
              <w:pStyle w:val="Compact"/>
            </w:pPr>
            <w:r>
              <w:t xml:space="preserve">IMC, PAS, HDL, LDLc, TG, PCSK9</w:t>
            </w:r>
          </w:p>
        </w:tc>
      </w:tr>
      <w:tr>
        <w:tc>
          <w:tcPr/>
          <w:p>
            <w:pPr>
              <w:pStyle w:val="Compact"/>
            </w:pPr>
            <w:r>
              <w:t xml:space="preserve">Continue fortement asymétrique (skew</w:t>
            </w:r>
            <w:r>
              <w:t xml:space="preserve"> </w:t>
            </w:r>
            <m:oMath>
              <m:r>
                <m:rPr>
                  <m:sty m:val="p"/>
                </m:rPr>
                <m:t>&gt;</m:t>
              </m:r>
              <m:r>
                <m:t>3</m:t>
              </m:r>
            </m:oMath>
            <w:r>
              <w:t xml:space="preserve">)</w:t>
            </w:r>
          </w:p>
        </w:tc>
        <w:tc>
          <w:tcPr/>
          <w:p>
            <w:pPr>
              <w:pStyle w:val="Compact"/>
            </w:pPr>
            <w:r>
              <w:t xml:space="preserve">6</w:t>
            </w:r>
          </w:p>
        </w:tc>
        <w:tc>
          <w:tcPr/>
          <w:p>
            <w:pPr>
              <w:pStyle w:val="Compact"/>
            </w:pPr>
            <w:r>
              <w:t xml:space="preserve">18,2 %</w:t>
            </w:r>
          </w:p>
        </w:tc>
        <w:tc>
          <w:tcPr/>
          <w:p>
            <w:pPr>
              <w:pStyle w:val="Compact"/>
            </w:pPr>
            <w:r>
              <w:t xml:space="preserve">HOMA-IR (skew = +8,81), Adipo HMW (skew = +7,55), Ins (skew = +3,64)</w:t>
            </w:r>
          </w:p>
        </w:tc>
      </w:tr>
      <w:tr>
        <w:tc>
          <w:tcPr/>
          <w:p>
            <w:pPr>
              <w:pStyle w:val="Compact"/>
            </w:pPr>
            <w:r>
              <w:t xml:space="preserve">Continue quasi constante</w:t>
            </w:r>
          </w:p>
        </w:tc>
        <w:tc>
          <w:tcPr/>
          <w:p>
            <w:pPr>
              <w:pStyle w:val="Compact"/>
            </w:pPr>
            <w:r>
              <w:t xml:space="preserve">2</w:t>
            </w:r>
          </w:p>
        </w:tc>
        <w:tc>
          <w:tcPr/>
          <w:p>
            <w:pPr>
              <w:pStyle w:val="Compact"/>
            </w:pPr>
            <w:r>
              <w:t xml:space="preserve">6,1 %</w:t>
            </w:r>
          </w:p>
        </w:tc>
        <w:tc>
          <w:tcPr/>
          <w:p>
            <w:pPr>
              <w:pStyle w:val="Compact"/>
            </w:pPr>
            <w:r>
              <w:t xml:space="preserve">Lasilix, Lexomil</w:t>
            </w:r>
          </w:p>
        </w:tc>
      </w:tr>
      <w:tr>
        <w:tc>
          <w:tcPr/>
          <w:p>
            <w:pPr>
              <w:pStyle w:val="Compact"/>
            </w:pPr>
            <w:r>
              <w:t xml:space="preserve">Binaire</w:t>
            </w:r>
          </w:p>
        </w:tc>
        <w:tc>
          <w:tcPr/>
          <w:p>
            <w:pPr>
              <w:pStyle w:val="Compact"/>
            </w:pPr>
            <w:r>
              <w:t xml:space="preserve">2</w:t>
            </w:r>
          </w:p>
        </w:tc>
        <w:tc>
          <w:tcPr/>
          <w:p>
            <w:pPr>
              <w:pStyle w:val="Compact"/>
            </w:pPr>
            <w:r>
              <w:t xml:space="preserve">6,1 %</w:t>
            </w:r>
          </w:p>
        </w:tc>
        <w:tc>
          <w:tcPr/>
          <w:p>
            <w:pPr>
              <w:pStyle w:val="Compact"/>
            </w:pPr>
            <w:r>
              <w:t xml:space="preserve">Sexe, HTA</w:t>
            </w:r>
          </w:p>
        </w:tc>
      </w:tr>
      <w:tr>
        <w:tc>
          <w:tcPr/>
          <w:p>
            <w:pPr>
              <w:pStyle w:val="Compact"/>
            </w:pPr>
            <w:r>
              <w:t xml:space="preserve">Ordinale</w:t>
            </w:r>
          </w:p>
        </w:tc>
        <w:tc>
          <w:tcPr/>
          <w:p>
            <w:pPr>
              <w:pStyle w:val="Compact"/>
            </w:pPr>
            <w:r>
              <w:t xml:space="preserve">2</w:t>
            </w:r>
          </w:p>
        </w:tc>
        <w:tc>
          <w:tcPr/>
          <w:p>
            <w:pPr>
              <w:pStyle w:val="Compact"/>
            </w:pPr>
            <w:r>
              <w:t xml:space="preserve">6,1 %</w:t>
            </w:r>
          </w:p>
        </w:tc>
        <w:tc>
          <w:tcPr/>
          <w:p>
            <w:pPr>
              <w:pStyle w:val="Compact"/>
            </w:pPr>
            <w:r>
              <w:t xml:space="preserve">HTS/HTD (3 modalités), Profil glycémique (4 modalités)</w:t>
            </w:r>
          </w:p>
        </w:tc>
      </w:tr>
    </w:tbl>
    <w:p>
      <w:pPr>
        <w:pStyle w:val="BodyText"/>
      </w:pPr>
      <w:r>
        <w:t xml:space="preserve">La prédominance marquée de variables continues non gaussiennes (87,9 % des variables continues) constitue la contrainte méthodologique centrale de cette étude.</w:t>
      </w:r>
    </w:p>
    <w:bookmarkEnd w:id="13"/>
    <w:bookmarkEnd w:id="14"/>
    <w:bookmarkStart w:id="17" w:name="X703fa8ee89aca85aa59a2c48d5814aefd738006"/>
    <w:p>
      <w:pPr>
        <w:pStyle w:val="Heading2"/>
      </w:pPr>
      <w:r>
        <w:t xml:space="preserve">1.2 Protocole de simulation des données manquantes</w:t>
      </w:r>
    </w:p>
    <w:bookmarkStart w:id="15" w:name="mécanismes-implémentés"/>
    <w:p>
      <w:pPr>
        <w:pStyle w:val="Heading3"/>
      </w:pPr>
      <w:r>
        <w:t xml:space="preserve">Mécanismes implémentés</w:t>
      </w:r>
    </w:p>
    <w:p>
      <w:pPr>
        <w:pStyle w:val="FirstParagraph"/>
      </w:pPr>
      <w:r>
        <w:t xml:space="preserve">Trois mécanismes de données manquantes sont simulés, chacun à trois taux de perte (10 %, 20 %, 40 %) :</w:t>
      </w:r>
    </w:p>
    <w:p>
      <w:pPr>
        <w:pStyle w:val="BodyText"/>
      </w:pPr>
      <w:r>
        <w:rPr>
          <w:b/>
          <w:bCs/>
        </w:rPr>
        <w:t xml:space="preserve">1. MCAR (Missing Completely At Random)</w:t>
      </w:r>
      <w:r>
        <w:br/>
      </w:r>
      <w:r>
        <w:t xml:space="preserve">Chaque cellule</w:t>
      </w:r>
      <w:r>
        <w:t xml:space="preserve"> </w:t>
      </w:r>
      <m:oMath>
        <m:r>
          <m:rPr>
            <m:sty m:val="p"/>
          </m:rPr>
          <m:t>(</m:t>
        </m:r>
        <m:r>
          <m:t>i</m:t>
        </m:r>
        <m:r>
          <m:rPr>
            <m:sty m:val="p"/>
          </m:rPr>
          <m:t>,</m:t>
        </m:r>
        <m:r>
          <m:t>j</m:t>
        </m:r>
        <m:r>
          <m:rPr>
            <m:sty m:val="p"/>
          </m:rPr>
          <m:t>)</m:t>
        </m:r>
      </m:oMath>
      <w:r>
        <w:t xml:space="preserve"> </w:t>
      </w:r>
      <w:r>
        <w:t xml:space="preserve">de la matrice de données</w:t>
      </w:r>
      <w:r>
        <w:t xml:space="preserve"> </w:t>
      </w:r>
      <m:oMath>
        <m:r>
          <m:t>X</m:t>
        </m:r>
        <m:r>
          <m:rPr>
            <m:sty m:val="p"/>
          </m:rPr>
          <m:t>∈</m:t>
        </m:r>
        <m:sSup>
          <m:e>
            <m:r>
              <m:rPr>
                <m:scr m:val="double-struck"/>
                <m:sty m:val="p"/>
              </m:rPr>
              <m:t>R</m:t>
            </m:r>
          </m:e>
          <m:sup>
            <m:r>
              <m:t>N</m:t>
            </m:r>
            <m:r>
              <m:rPr>
                <m:sty m:val="p"/>
              </m:rPr>
              <m:t>×</m:t>
            </m:r>
            <m:r>
              <m:t>P</m:t>
            </m:r>
          </m:sup>
        </m:sSup>
      </m:oMath>
      <w:r>
        <w:t xml:space="preserve"> </w:t>
      </w:r>
      <w:r>
        <w:t xml:space="preserve">est supprimée indépendamment avec probabilité</w:t>
      </w:r>
      <w:r>
        <w:t xml:space="preserve"> </w:t>
      </w:r>
      <m:oMath>
        <m:r>
          <m:t>τ</m:t>
        </m:r>
      </m:oMath>
      <w:r>
        <w:t xml:space="preserve"> </w:t>
      </w:r>
      <w:r>
        <w:t xml:space="preserve">:</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sSub>
            <m:e>
              <m:r>
                <m:t>X</m:t>
              </m:r>
            </m:e>
            <m:sub>
              <m:r>
                <m:t>o</m:t>
              </m:r>
              <m:r>
                <m:t>b</m:t>
              </m:r>
              <m:r>
                <m:t>s</m:t>
              </m:r>
            </m:sub>
          </m:sSub>
          <m:r>
            <m:rPr>
              <m:sty m:val="p"/>
            </m:rPr>
            <m:t>,</m:t>
          </m:r>
          <m:sSub>
            <m:e>
              <m:r>
                <m:t>X</m:t>
              </m:r>
            </m:e>
            <m:sub>
              <m:r>
                <m:t>m</m:t>
              </m:r>
              <m:r>
                <m:t>i</m:t>
              </m:r>
              <m:r>
                <m:t>s</m:t>
              </m:r>
              <m:r>
                <m:t>s</m:t>
              </m:r>
            </m:sub>
          </m:sSub>
          <m:r>
            <m:rPr>
              <m:sty m:val="p"/>
            </m:rPr>
            <m:t>)</m:t>
          </m:r>
          <m:r>
            <m:rPr>
              <m:sty m:val="p"/>
            </m:rPr>
            <m:t>=</m:t>
          </m:r>
          <m:r>
            <m:t>τ</m:t>
          </m:r>
        </m:oMath>
      </m:oMathPara>
    </w:p>
    <w:p>
      <w:pPr>
        <w:pStyle w:val="FirstParagraph"/>
      </w:pPr>
      <w:r>
        <w:rPr>
          <w:b/>
          <w:bCs/>
        </w:rPr>
        <w:t xml:space="preserve">2. MAR (Missing At Random)</w:t>
      </w:r>
      <w:r>
        <w:br/>
      </w:r>
      <w:r>
        <w:t xml:space="preserve">La probabilité de manquance pour la variable</w:t>
      </w:r>
      <w:r>
        <w:t xml:space="preserve"> </w:t>
      </w:r>
      <m:oMath>
        <m:r>
          <m:t>j</m:t>
        </m:r>
      </m:oMath>
      <w:r>
        <w:t xml:space="preserve"> </w:t>
      </w:r>
      <w:r>
        <w:t xml:space="preserve">dépend des autres variables observées</w:t>
      </w:r>
      <w:r>
        <w:t xml:space="preserve"> </w:t>
      </w:r>
      <m:oMath>
        <m:sSub>
          <m:e>
            <m:r>
              <m:t>X</m:t>
            </m:r>
          </m:e>
          <m:sub>
            <m:r>
              <m:rPr>
                <m:sty m:val="p"/>
              </m:rPr>
              <m:t>−</m:t>
            </m:r>
            <m:r>
              <m:t>j</m:t>
            </m:r>
          </m:sub>
        </m:sSub>
      </m:oMath>
      <w:r>
        <w:t xml:space="preserve"> </w:t>
      </w:r>
      <w:r>
        <w:t xml:space="preserve">via une transformation sigmoïde :</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r>
            <m:rPr>
              <m:sty m:val="p"/>
            </m:rPr>
            <m:t>=</m:t>
          </m:r>
          <m:r>
            <m:t>τ</m:t>
          </m:r>
          <m:r>
            <m:rPr>
              <m:sty m:val="p"/>
            </m:rPr>
            <m:t>+</m:t>
          </m:r>
          <m:r>
            <m:rPr>
              <m:sty m:val="p"/>
            </m:rPr>
            <m:t>(</m:t>
          </m:r>
          <m:r>
            <m:t>1</m:t>
          </m:r>
          <m:r>
            <m:rPr>
              <m:sty m:val="p"/>
            </m:rPr>
            <m:t>−</m:t>
          </m:r>
          <m:r>
            <m:t>τ</m:t>
          </m:r>
          <m:r>
            <m:rPr>
              <m:sty m:val="p"/>
            </m:rPr>
            <m:t>)</m:t>
          </m:r>
          <m:r>
            <m:rPr>
              <m:sty m:val="p"/>
            </m:rPr>
            <m:t>⋅</m:t>
          </m:r>
          <m:r>
            <m:t>σ</m:t>
          </m:r>
          <m:d>
            <m:dPr>
              <m:begChr m:val="("/>
              <m:sepChr m:val=""/>
              <m:endChr m:val=")"/>
              <m:grow/>
            </m:dPr>
            <m:e>
              <m:nary>
                <m:naryPr>
                  <m:chr m:val="∑"/>
                  <m:limLoc m:val="undOvr"/>
                  <m:subHide m:val="off"/>
                  <m:supHide m:val="on"/>
                </m:naryPr>
                <m:sub>
                  <m:r>
                    <m:t>k</m:t>
                  </m:r>
                  <m:r>
                    <m:rPr>
                      <m:sty m:val="p"/>
                    </m:rPr>
                    <m:t>≠</m:t>
                  </m:r>
                  <m:r>
                    <m:t>j</m:t>
                  </m:r>
                </m:sub>
                <m:sup>
                  <m:r>
                    <m:t>​</m:t>
                  </m:r>
                </m:sup>
                <m:e>
                  <m:sSub>
                    <m:e>
                      <m:r>
                        <m:t>w</m:t>
                      </m:r>
                    </m:e>
                    <m:sub>
                      <m:r>
                        <m:t>k</m:t>
                      </m:r>
                    </m:sub>
                  </m:sSub>
                </m:e>
              </m:nary>
              <m:sSubSup>
                <m:e>
                  <m:r>
                    <m:t>X</m:t>
                  </m:r>
                </m:e>
                <m:sub>
                  <m:r>
                    <m:t>i</m:t>
                  </m:r>
                  <m:r>
                    <m:t>k</m:t>
                  </m:r>
                </m:sub>
                <m:sup>
                  <m:r>
                    <m:t>o</m:t>
                  </m:r>
                  <m:r>
                    <m:t>b</m:t>
                  </m:r>
                  <m:r>
                    <m:t>s</m:t>
                  </m:r>
                </m:sup>
              </m:sSubSup>
            </m:e>
          </m:d>
        </m:oMath>
      </m:oMathPara>
    </w:p>
    <w:p>
      <w:pPr>
        <w:pStyle w:val="FirstParagraph"/>
      </w:pPr>
      <w:r>
        <w:t xml:space="preserve">où</w:t>
      </w:r>
      <w:r>
        <w:t xml:space="preserve"> </w:t>
      </w:r>
      <m:oMath>
        <m:r>
          <m:t>σ</m:t>
        </m:r>
        <m:r>
          <m:rPr>
            <m:sty m:val="p"/>
          </m:rPr>
          <m:t>(</m:t>
        </m:r>
        <m:r>
          <m:rPr>
            <m:sty m:val="p"/>
          </m:rPr>
          <m:t>⋅</m:t>
        </m:r>
        <m:r>
          <m:rPr>
            <m:sty m:val="p"/>
          </m:rPr>
          <m:t>)</m:t>
        </m:r>
      </m:oMath>
      <w:r>
        <w:t xml:space="preserve"> </w:t>
      </w:r>
      <w:r>
        <w:t xml:space="preserve">est la fonction logistique et les poids</w:t>
      </w:r>
      <w:r>
        <w:t xml:space="preserve"> </w:t>
      </w:r>
      <m:oMath>
        <m:sSub>
          <m:e>
            <m:r>
              <m:t>w</m:t>
            </m:r>
          </m:e>
          <m:sub>
            <m:r>
              <m:t>k</m:t>
            </m:r>
          </m:sub>
        </m:sSub>
      </m:oMath>
      <w:r>
        <w:t xml:space="preserve"> </w:t>
      </w:r>
      <w:r>
        <w:t xml:space="preserve">sont tirés aléatoirement.</w:t>
      </w:r>
    </w:p>
    <w:p>
      <w:pPr>
        <w:pStyle w:val="BodyText"/>
      </w:pPr>
      <w:r>
        <w:rPr>
          <w:b/>
          <w:bCs/>
        </w:rPr>
        <w:t xml:space="preserve">3. MNAR (Missing Not At Random)</w:t>
      </w:r>
      <w:r>
        <w:t xml:space="preserve"> </w:t>
      </w:r>
      <w:r>
        <w:t xml:space="preserve">—</w:t>
      </w:r>
      <w:r>
        <w:t xml:space="preserve"> </w:t>
      </w:r>
      <w:r>
        <w:rPr>
          <w:i/>
          <w:iCs/>
        </w:rPr>
        <w:t xml:space="preserve">Implémenté dans le code, non exécuté dans cette version pour contrainte de temps de calcul.</w:t>
      </w:r>
      <w:r>
        <w:br/>
      </w:r>
      <w:r>
        <w:t xml:space="preserve">La probabilité de manquance dépend de la valeur elle-même, avec une probabilité accrue pour les valeurs extrêmes :</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r>
            <m:rPr>
              <m:sty m:val="p"/>
            </m:rPr>
            <m:t>∝</m:t>
          </m:r>
          <m:f>
            <m:fPr>
              <m:type m:val="bar"/>
            </m:fPr>
            <m:num>
              <m:r>
                <m:rPr>
                  <m:sty m:val="p"/>
                </m:rPr>
                <m:t>|</m:t>
              </m:r>
              <m:sSub>
                <m:e>
                  <m:r>
                    <m:t>X</m:t>
                  </m:r>
                </m:e>
                <m:sub>
                  <m:r>
                    <m:t>i</m:t>
                  </m:r>
                  <m:r>
                    <m:t>j</m:t>
                  </m:r>
                </m:sub>
              </m:sSub>
              <m:r>
                <m:rPr>
                  <m:sty m:val="p"/>
                </m:rPr>
                <m:t>−</m:t>
              </m:r>
              <m:r>
                <m:rPr>
                  <m:nor/>
                  <m:sty m:val="p"/>
                </m:rPr>
                <m:t>med</m:t>
              </m:r>
              <m:r>
                <m:rPr>
                  <m:sty m:val="p"/>
                </m:rPr>
                <m:t>(</m:t>
              </m:r>
              <m:sSub>
                <m:e>
                  <m:r>
                    <m:t>X</m:t>
                  </m:r>
                </m:e>
                <m:sub>
                  <m:r>
                    <m:t>j</m:t>
                  </m:r>
                </m:sub>
              </m:sSub>
              <m:r>
                <m:rPr>
                  <m:sty m:val="p"/>
                </m:rPr>
                <m:t>)</m:t>
              </m:r>
              <m:r>
                <m:rPr>
                  <m:sty m:val="p"/>
                </m:rPr>
                <m:t>|</m:t>
              </m:r>
            </m:num>
            <m:den>
              <m:r>
                <m:rPr>
                  <m:nor/>
                  <m:sty m:val="p"/>
                </m:rPr>
                <m:t>MAD</m:t>
              </m:r>
              <m:r>
                <m:rPr>
                  <m:sty m:val="p"/>
                </m:rPr>
                <m:t>(</m:t>
              </m:r>
              <m:sSub>
                <m:e>
                  <m:r>
                    <m:t>X</m:t>
                  </m:r>
                </m:e>
                <m:sub>
                  <m:r>
                    <m:t>j</m:t>
                  </m:r>
                </m:sub>
              </m:sSub>
              <m:r>
                <m:rPr>
                  <m:sty m:val="p"/>
                </m:rPr>
                <m:t>)</m:t>
              </m:r>
            </m:den>
          </m:f>
        </m:oMath>
      </m:oMathPara>
    </w:p>
    <w:bookmarkEnd w:id="15"/>
    <w:bookmarkStart w:id="16" w:name="protocole-monte-carlo"/>
    <w:p>
      <w:pPr>
        <w:pStyle w:val="Heading3"/>
      </w:pPr>
      <w:r>
        <w:t xml:space="preserve">Protocole Monte Carlo</w:t>
      </w:r>
    </w:p>
    <w:p>
      <w:pPr>
        <w:pStyle w:val="FirstParagraph"/>
      </w:pPr>
      <w:r>
        <w:t xml:space="preserve">Pour chaque combinaison {mécanisme</w:t>
      </w:r>
      <w:r>
        <w:t xml:space="preserve"> </w:t>
      </w:r>
      <m:oMath>
        <m:r>
          <m:rPr>
            <m:sty m:val="p"/>
          </m:rPr>
          <m:t>×</m:t>
        </m:r>
      </m:oMath>
      <w:r>
        <w:t xml:space="preserve"> </w:t>
      </w:r>
      <w:r>
        <w:t xml:space="preserve">taux}, l’amputation est répétée</w:t>
      </w:r>
      <w:r>
        <w:t xml:space="preserve"> </w:t>
      </w:r>
      <m:oMath>
        <m:r>
          <m:t>M</m:t>
        </m:r>
        <m:r>
          <m:rPr>
            <m:sty m:val="p"/>
          </m:rPr>
          <m:t>=</m:t>
        </m:r>
        <m:r>
          <m:t>5</m:t>
        </m:r>
      </m:oMath>
      <w:r>
        <w:rPr>
          <w:b/>
          <w:bCs/>
        </w:rPr>
        <w:t xml:space="preserve"> </w:t>
      </w:r>
      <w:r>
        <w:rPr>
          <w:b/>
          <w:bCs/>
        </w:rPr>
        <w:t xml:space="preserve">fois</w:t>
      </w:r>
      <w:r>
        <w:t xml:space="preserve"> </w:t>
      </w:r>
      <w:r>
        <w:t xml:space="preserve">(configurable à</w:t>
      </w:r>
      <w:r>
        <w:t xml:space="preserve"> </w:t>
      </w:r>
      <m:oMath>
        <m:r>
          <m:t>M</m:t>
        </m:r>
        <m:r>
          <m:rPr>
            <m:sty m:val="p"/>
          </m:rPr>
          <m:t>=</m:t>
        </m:r>
        <m:r>
          <m:t>100</m:t>
        </m:r>
      </m:oMath>
      <w:r>
        <w:t xml:space="preserve"> </w:t>
      </w:r>
      <w:r>
        <w:t xml:space="preserve">pour une publication) avec des graines aléatoires distinctes. Les performances sont rapportées sous forme de moyenne</w:t>
      </w:r>
      <w:r>
        <w:t xml:space="preserve"> </w:t>
      </w:r>
      <m:oMath>
        <m:r>
          <m:rPr>
            <m:sty m:val="p"/>
          </m:rPr>
          <m:t>±</m:t>
        </m:r>
      </m:oMath>
      <w:r>
        <w:t xml:space="preserve"> </w:t>
      </w:r>
      <w:r>
        <w:t xml:space="preserve">écart-type sur les</w:t>
      </w:r>
      <w:r>
        <w:t xml:space="preserve"> </w:t>
      </w:r>
      <m:oMath>
        <m:r>
          <m:t>M</m:t>
        </m:r>
      </m:oMath>
      <w:r>
        <w:t xml:space="preserve"> </w:t>
      </w:r>
      <w:r>
        <w:t xml:space="preserve">répétitions, avec intervalles de confiance à 95 %.</w:t>
      </w:r>
    </w:p>
    <w:p>
      <w:pPr>
        <w:pStyle w:val="BodyText"/>
      </w:pPr>
      <w:r>
        <w:t xml:space="preserve">Le plan expérimental complet est donc :</w:t>
      </w:r>
      <w:r>
        <w:t xml:space="preserve"> </w:t>
      </w:r>
      <m:oMath>
        <m:r>
          <m:t>2</m:t>
        </m:r>
        <m:r>
          <m:rPr>
            <m:nor/>
            <m:sty m:val="p"/>
          </m:rPr>
          <m:t> mécanismes</m:t>
        </m:r>
        <m:r>
          <m:rPr>
            <m:sty m:val="p"/>
          </m:rPr>
          <m:t>×</m:t>
        </m:r>
        <m:r>
          <m:t>3</m:t>
        </m:r>
        <m:r>
          <m:rPr>
            <m:nor/>
            <m:sty m:val="p"/>
          </m:rPr>
          <m:t> taux</m:t>
        </m:r>
        <m:r>
          <m:rPr>
            <m:sty m:val="p"/>
          </m:rPr>
          <m:t>×</m:t>
        </m:r>
        <m:r>
          <m:t>5</m:t>
        </m:r>
        <m:r>
          <m:rPr>
            <m:nor/>
            <m:sty m:val="p"/>
          </m:rPr>
          <m:t> répétitions</m:t>
        </m:r>
        <m:r>
          <m:rPr>
            <m:sty m:val="p"/>
          </m:rPr>
          <m:t>×</m:t>
        </m:r>
        <m:r>
          <m:t>4</m:t>
        </m:r>
        <m:r>
          <m:rPr>
            <m:nor/>
            <m:sty m:val="p"/>
          </m:rPr>
          <m:t> méthodes</m:t>
        </m:r>
        <m:r>
          <m:rPr>
            <m:sty m:val="p"/>
          </m:rPr>
          <m:t>=</m:t>
        </m:r>
        <m:r>
          <m:t>120</m:t>
        </m:r>
      </m:oMath>
      <w:r>
        <w:t xml:space="preserve"> </w:t>
      </w:r>
      <w:r>
        <w:t xml:space="preserve">imputations indépendantes.</w:t>
      </w:r>
    </w:p>
    <w:bookmarkEnd w:id="16"/>
    <w:bookmarkEnd w:id="17"/>
    <w:bookmarkStart w:id="22" w:name="méthodes-dimputation-comparées"/>
    <w:p>
      <w:pPr>
        <w:pStyle w:val="Heading2"/>
      </w:pPr>
      <w:r>
        <w:t xml:space="preserve">1.3 Méthodes d’imputation comparées</w:t>
      </w:r>
    </w:p>
    <w:bookmarkStart w:id="18" w:name="médianemode-baseline-de-référence"/>
    <w:p>
      <w:pPr>
        <w:pStyle w:val="Heading3"/>
      </w:pPr>
      <w:r>
        <w:t xml:space="preserve">1.3.1 Médiane/Mode (Baseline de référence)</w:t>
      </w:r>
    </w:p>
    <w:p>
      <w:pPr>
        <w:pStyle w:val="FirstParagraph"/>
      </w:pPr>
      <w:r>
        <w:t xml:space="preserve">Imputation univariée non paramétrique. Chaque valeur manquante d’une variable continue est remplacée par la médiane empirique ; chaque valeur catégorielle par le mode. Implémentation :</w:t>
      </w:r>
      <w:r>
        <w:t xml:space="preserve"> </w:t>
      </w:r>
      <w:r>
        <w:rPr>
          <w:rStyle w:val="VerbatimChar"/>
        </w:rPr>
        <w:t xml:space="preserve">SimpleImputer</w:t>
      </w:r>
      <w:r>
        <w:t xml:space="preserve"> </w:t>
      </w:r>
      <w:r>
        <w:t xml:space="preserve">(scikit-learn).</w:t>
      </w:r>
    </w:p>
    <w:p>
      <w:pPr>
        <w:pStyle w:val="BodyText"/>
      </w:pPr>
      <w:r>
        <w:t xml:space="preserve">Cette méthode sert de</w:t>
      </w:r>
      <w:r>
        <w:t xml:space="preserve"> </w:t>
      </w:r>
      <w:r>
        <w:rPr>
          <w:b/>
          <w:bCs/>
        </w:rPr>
        <w:t xml:space="preserve">baseline minimale</w:t>
      </w:r>
      <w:r>
        <w:t xml:space="preserve"> </w:t>
      </w:r>
      <w:r>
        <w:t xml:space="preserve">: toute méthode d’imputation avancée doit significativement surpasser la médiane/mode pour justifier sa complexité supplémentaire.</w:t>
      </w:r>
    </w:p>
    <w:bookmarkEnd w:id="18"/>
    <w:bookmarkStart w:id="19" w:name="knn-imputer-k-5"/>
    <w:p>
      <w:pPr>
        <w:pStyle w:val="Heading3"/>
      </w:pPr>
      <w:r>
        <w:t xml:space="preserve">1.3.2 KNN Imputer (</w:t>
      </w:r>
      <m:oMath>
        <m:r>
          <m:t>k</m:t>
        </m:r>
        <m:r>
          <m:rPr>
            <m:sty m:val="p"/>
          </m:rPr>
          <m:t>=</m:t>
        </m:r>
        <m:r>
          <m:t>5</m:t>
        </m:r>
      </m:oMath>
      <w:r>
        <w:t xml:space="preserve">)</w:t>
      </w:r>
    </w:p>
    <w:p>
      <w:pPr>
        <w:pStyle w:val="FirstParagraph"/>
      </w:pPr>
      <w:r>
        <w:t xml:space="preserve">Imputation par moyennage des</w:t>
      </w:r>
      <w:r>
        <w:t xml:space="preserve"> </w:t>
      </w:r>
      <m:oMath>
        <m:r>
          <m:t>k</m:t>
        </m:r>
      </m:oMath>
      <w:r>
        <w:t xml:space="preserve"> </w:t>
      </w:r>
      <w:r>
        <w:t xml:space="preserve">plus proches voisins dans l’espace des variables complètes. La distance euclidienne est calculée sur les coordonnées disponibles (distance partielle). Implémentation :</w:t>
      </w:r>
      <w:r>
        <w:t xml:space="preserve"> </w:t>
      </w:r>
      <w:r>
        <w:rPr>
          <w:rStyle w:val="VerbatimChar"/>
        </w:rPr>
        <w:t xml:space="preserve">KNNImputer</w:t>
      </w:r>
      <w:r>
        <w:t xml:space="preserve"> </w:t>
      </w:r>
      <w:r>
        <w:t xml:space="preserve">(scikit-learn,</w:t>
      </w:r>
      <w:r>
        <w:t xml:space="preserve"> </w:t>
      </w:r>
      <m:oMath>
        <m:r>
          <m:t>k</m:t>
        </m:r>
        <m:r>
          <m:rPr>
            <m:sty m:val="p"/>
          </m:rPr>
          <m:t>=</m:t>
        </m:r>
        <m:r>
          <m:t>5</m:t>
        </m:r>
      </m:oMath>
      <w:r>
        <w:t xml:space="preserve">, pondération uniforme).</w:t>
      </w:r>
    </w:p>
    <w:p>
      <w:pPr>
        <w:pStyle w:val="BodyText"/>
      </w:pPr>
      <m:oMathPara>
        <m:oMathParaPr>
          <m:jc m:val="center"/>
        </m:oMathParaPr>
        <m:oMath>
          <m:sSub>
            <m:e>
              <m:acc>
                <m:accPr>
                  <m:chr m:val="̂"/>
                </m:accPr>
                <m:e>
                  <m:r>
                    <m:t>X</m:t>
                  </m:r>
                </m:e>
              </m:acc>
            </m:e>
            <m:sub>
              <m:r>
                <m:t>i</m:t>
              </m:r>
              <m:r>
                <m:t>j</m:t>
              </m:r>
            </m:sub>
          </m:sSub>
          <m:r>
            <m:rPr>
              <m:sty m:val="p"/>
            </m:rPr>
            <m:t>=</m:t>
          </m:r>
          <m:f>
            <m:fPr>
              <m:type m:val="bar"/>
            </m:fPr>
            <m:num>
              <m:r>
                <m:t>1</m:t>
              </m:r>
            </m:num>
            <m:den>
              <m:r>
                <m:t>k</m:t>
              </m:r>
            </m:den>
          </m:f>
          <m:nary>
            <m:naryPr>
              <m:chr m:val="∑"/>
              <m:limLoc m:val="undOvr"/>
              <m:subHide m:val="off"/>
              <m:supHide m:val="on"/>
            </m:naryPr>
            <m:sub>
              <m:r>
                <m:t>m</m:t>
              </m:r>
              <m:r>
                <m:rPr>
                  <m:sty m:val="p"/>
                </m:rPr>
                <m:t>∈</m:t>
              </m:r>
              <m:sSub>
                <m:e>
                  <m:r>
                    <m:rPr>
                      <m:scr m:val="script"/>
                      <m:sty m:val="p"/>
                    </m:rPr>
                    <m:t>N</m:t>
                  </m:r>
                </m:e>
                <m:sub>
                  <m:r>
                    <m:t>k</m:t>
                  </m:r>
                </m:sub>
              </m:sSub>
              <m:r>
                <m:rPr>
                  <m:sty m:val="p"/>
                </m:rPr>
                <m:t>(</m:t>
              </m:r>
              <m:r>
                <m:t>i</m:t>
              </m:r>
              <m:r>
                <m:rPr>
                  <m:sty m:val="p"/>
                </m:rPr>
                <m:t>)</m:t>
              </m:r>
            </m:sub>
            <m:sup>
              <m:r>
                <m:t>​</m:t>
              </m:r>
            </m:sup>
            <m:e>
              <m:sSub>
                <m:e>
                  <m:r>
                    <m:t>X</m:t>
                  </m:r>
                </m:e>
                <m:sub>
                  <m:r>
                    <m:t>m</m:t>
                  </m:r>
                  <m:r>
                    <m:t>j</m:t>
                  </m:r>
                </m:sub>
              </m:sSub>
            </m:e>
          </m:nary>
        </m:oMath>
      </m:oMathPara>
    </w:p>
    <w:bookmarkEnd w:id="19"/>
    <w:bookmarkStart w:id="20" w:name="X75070d6d588e31d4cfacf89b99fb92de123bfd7"/>
    <w:p>
      <w:pPr>
        <w:pStyle w:val="Heading3"/>
      </w:pPr>
      <w:r>
        <w:t xml:space="preserve">1.3.3 MICE — Multiple Imputation by Chained Equations</w:t>
      </w:r>
    </w:p>
    <w:p>
      <w:pPr>
        <w:pStyle w:val="FirstParagraph"/>
      </w:pPr>
      <w:r>
        <w:t xml:space="preserve">Approche itérative par équations chaînées avec estimateur BayesianRidge : chaque variable</w:t>
      </w:r>
      <w:r>
        <w:t xml:space="preserve"> </w:t>
      </w:r>
      <m:oMath>
        <m:sSub>
          <m:e>
            <m:r>
              <m:t>X</m:t>
            </m:r>
          </m:e>
          <m:sub>
            <m:r>
              <m:t>j</m:t>
            </m:r>
          </m:sub>
        </m:sSub>
      </m:oMath>
      <w:r>
        <w:t xml:space="preserve"> </w:t>
      </w:r>
      <w:r>
        <w:t xml:space="preserve">est régressée sur</w:t>
      </w:r>
      <w:r>
        <w:t xml:space="preserve"> </w:t>
      </w:r>
      <m:oMath>
        <m:sSub>
          <m:e>
            <m:r>
              <m:t>X</m:t>
            </m:r>
          </m:e>
          <m:sub>
            <m:r>
              <m:rPr>
                <m:sty m:val="p"/>
              </m:rPr>
              <m:t>−</m:t>
            </m:r>
            <m:r>
              <m:t>j</m:t>
            </m:r>
          </m:sub>
        </m:sSub>
      </m:oMath>
      <w:r>
        <w:t xml:space="preserve">, et les paramètres sont échantillonnés depuis leur distribution a posteriori (</w:t>
      </w:r>
      <m:oMath>
        <m:r>
          <m:t>s</m:t>
        </m:r>
        <m:r>
          <m:t>a</m:t>
        </m:r>
        <m:r>
          <m:t>m</m:t>
        </m:r>
        <m:r>
          <m:t>p</m:t>
        </m:r>
        <m:r>
          <m:t>l</m:t>
        </m:r>
        <m:r>
          <m:t>e</m:t>
        </m:r>
        <m:r>
          <m:rPr>
            <m:sty m:val="p"/>
          </m:rPr>
          <m:t>_</m:t>
        </m:r>
        <m:r>
          <m:t>p</m:t>
        </m:r>
        <m:r>
          <m:t>o</m:t>
        </m:r>
        <m:r>
          <m:t>s</m:t>
        </m:r>
        <m:r>
          <m:t>t</m:t>
        </m:r>
        <m:r>
          <m:t>e</m:t>
        </m:r>
        <m:r>
          <m:t>r</m:t>
        </m:r>
        <m:r>
          <m:t>i</m:t>
        </m:r>
        <m:r>
          <m:t>o</m:t>
        </m:r>
        <m:r>
          <m:t>r</m:t>
        </m:r>
        <m:r>
          <m:rPr>
            <m:sty m:val="p"/>
          </m:rPr>
          <m:t>=</m:t>
        </m:r>
        <m:r>
          <m:t>T</m:t>
        </m:r>
        <m:r>
          <m:t>r</m:t>
        </m:r>
        <m:r>
          <m:t>u</m:t>
        </m:r>
        <m:r>
          <m:t>e</m:t>
        </m:r>
      </m:oMath>
      <w:r>
        <w:t xml:space="preserve">). Implémentation :</w:t>
      </w:r>
      <w:r>
        <w:t xml:space="preserve"> </w:t>
      </w:r>
      <w:r>
        <w:rPr>
          <w:rStyle w:val="VerbatimChar"/>
        </w:rPr>
        <w:t xml:space="preserve">IterativeImputer</w:t>
      </w:r>
      <w:r>
        <w:t xml:space="preserve"> </w:t>
      </w:r>
      <w:r>
        <w:t xml:space="preserve">(scikit-learn, 10 itérations).</w:t>
      </w:r>
    </w:p>
    <w:p>
      <w:pPr>
        <w:pStyle w:val="BodyText"/>
      </w:pPr>
      <m:oMathPara>
        <m:oMathParaPr>
          <m:jc m:val="center"/>
        </m:oMathParaPr>
        <m:oMath>
          <m:sSubSup>
            <m:e>
              <m:r>
                <m:t>X</m:t>
              </m:r>
            </m:e>
            <m:sub>
              <m:r>
                <m:t>j</m:t>
              </m:r>
            </m:sub>
            <m:sup>
              <m:r>
                <m:rPr>
                  <m:sty m:val="p"/>
                </m:rPr>
                <m:t>(</m:t>
              </m:r>
              <m:r>
                <m:t>t</m:t>
              </m:r>
              <m:r>
                <m:rPr>
                  <m:sty m:val="p"/>
                </m:rPr>
                <m:t>+</m:t>
              </m:r>
              <m:r>
                <m:t>1</m:t>
              </m:r>
              <m:r>
                <m:rPr>
                  <m:sty m:val="p"/>
                </m:rPr>
                <m:t>)</m:t>
              </m:r>
            </m:sup>
          </m:sSubSup>
          <m:r>
            <m:rPr>
              <m:sty m:val="p"/>
            </m:rPr>
            <m:t>=</m:t>
          </m:r>
          <m:sSubSup>
            <m:e>
              <m:r>
                <m:t>β</m:t>
              </m:r>
            </m:e>
            <m:sub>
              <m:r>
                <m:t>0</m:t>
              </m:r>
            </m:sub>
            <m:sup>
              <m:r>
                <m:rPr>
                  <m:sty m:val="p"/>
                </m:rPr>
                <m:t>(</m:t>
              </m:r>
              <m:r>
                <m:t>t</m:t>
              </m:r>
              <m:r>
                <m:rPr>
                  <m:sty m:val="p"/>
                </m:rPr>
                <m:t>)</m:t>
              </m:r>
            </m:sup>
          </m:sSubSup>
          <m:r>
            <m:rPr>
              <m:sty m:val="p"/>
            </m:rPr>
            <m:t>+</m:t>
          </m:r>
          <m:nary>
            <m:naryPr>
              <m:chr m:val="∑"/>
              <m:limLoc m:val="undOvr"/>
              <m:subHide m:val="off"/>
              <m:supHide m:val="on"/>
            </m:naryPr>
            <m:sub>
              <m:r>
                <m:t>k</m:t>
              </m:r>
              <m:r>
                <m:rPr>
                  <m:sty m:val="p"/>
                </m:rPr>
                <m:t>≠</m:t>
              </m:r>
              <m:r>
                <m:t>j</m:t>
              </m:r>
            </m:sub>
            <m:sup>
              <m:r>
                <m:t>​</m:t>
              </m:r>
            </m:sup>
            <m:e>
              <m:sSubSup>
                <m:e>
                  <m:r>
                    <m:t>β</m:t>
                  </m:r>
                </m:e>
                <m:sub>
                  <m:r>
                    <m:t>k</m:t>
                  </m:r>
                </m:sub>
                <m:sup>
                  <m:r>
                    <m:rPr>
                      <m:sty m:val="p"/>
                    </m:rPr>
                    <m:t>(</m:t>
                  </m:r>
                  <m:r>
                    <m:t>t</m:t>
                  </m:r>
                  <m:r>
                    <m:rPr>
                      <m:sty m:val="p"/>
                    </m:rPr>
                    <m:t>)</m:t>
                  </m:r>
                </m:sup>
              </m:sSubSup>
            </m:e>
          </m:nary>
          <m:sSubSup>
            <m:e>
              <m:r>
                <m:t>X</m:t>
              </m:r>
            </m:e>
            <m:sub>
              <m:r>
                <m:t>k</m:t>
              </m:r>
            </m:sub>
            <m:sup>
              <m:r>
                <m:rPr>
                  <m:sty m:val="p"/>
                </m:rPr>
                <m:t>(</m:t>
              </m:r>
              <m:r>
                <m:t>t</m:t>
              </m:r>
              <m:r>
                <m:rPr>
                  <m:sty m:val="p"/>
                </m:rPr>
                <m:t>*</m:t>
              </m:r>
              <m:r>
                <m:rPr>
                  <m:sty m:val="p"/>
                </m:rPr>
                <m:t>)</m:t>
              </m:r>
            </m:sup>
          </m:sSubSup>
          <m:r>
            <m:rPr>
              <m:sty m:val="p"/>
            </m:rPr>
            <m:t>+</m:t>
          </m:r>
          <m:sSubSup>
            <m:e>
              <m:r>
                <m:t>ϵ</m:t>
              </m:r>
            </m:e>
            <m:sub>
              <m:r>
                <m:t>j</m:t>
              </m:r>
            </m:sub>
            <m:sup>
              <m:r>
                <m:rPr>
                  <m:sty m:val="p"/>
                </m:rPr>
                <m:t>(</m:t>
              </m:r>
              <m:r>
                <m:t>t</m:t>
              </m:r>
              <m:r>
                <m:rPr>
                  <m:sty m:val="p"/>
                </m:rPr>
                <m:t>)</m:t>
              </m:r>
            </m:sup>
          </m:sSubSup>
          <m:r>
            <m:rPr>
              <m:sty m:val="p"/>
            </m:rPr>
            <m:t>,</m:t>
          </m:r>
          <m:r>
            <m:t> </m:t>
          </m:r>
          <m:sSubSup>
            <m:e>
              <m:r>
                <m:t>ϵ</m:t>
              </m:r>
            </m:e>
            <m:sub>
              <m:r>
                <m:t>j</m:t>
              </m:r>
            </m:sub>
            <m:sup>
              <m:r>
                <m:rPr>
                  <m:sty m:val="p"/>
                </m:rPr>
                <m:t>(</m:t>
              </m:r>
              <m:r>
                <m:t>t</m:t>
              </m:r>
              <m:r>
                <m:rPr>
                  <m:sty m:val="p"/>
                </m:rPr>
                <m:t>)</m:t>
              </m:r>
            </m:sup>
          </m:sSubSup>
          <m:r>
            <m:rPr>
              <m:sty m:val="p"/>
            </m:rPr>
            <m:t>∼</m:t>
          </m:r>
          <m:r>
            <m:rPr>
              <m:scr m:val="script"/>
              <m:sty m:val="p"/>
            </m:rPr>
            <m:t>N</m:t>
          </m:r>
          <m:r>
            <m:rPr>
              <m:sty m:val="p"/>
            </m:rPr>
            <m:t>(</m:t>
          </m:r>
          <m:r>
            <m:t>0</m:t>
          </m:r>
          <m:r>
            <m:rPr>
              <m:sty m:val="p"/>
            </m:rPr>
            <m:t>,</m:t>
          </m:r>
          <m:sSubSup>
            <m:e>
              <m:r>
                <m:t>σ</m:t>
              </m:r>
            </m:e>
            <m:sub>
              <m:r>
                <m:t>j</m:t>
              </m:r>
            </m:sub>
            <m:sup>
              <m:r>
                <m:t>2</m:t>
              </m:r>
              <m:r>
                <m:rPr>
                  <m:sty m:val="p"/>
                </m:rPr>
                <m:t>(</m:t>
              </m:r>
              <m:r>
                <m:t>t</m:t>
              </m:r>
              <m:r>
                <m:rPr>
                  <m:sty m:val="p"/>
                </m:rPr>
                <m:t>)</m:t>
              </m:r>
            </m:sup>
          </m:sSubSup>
          <m:r>
            <m:rPr>
              <m:sty m:val="p"/>
            </m:rPr>
            <m:t>)</m:t>
          </m:r>
        </m:oMath>
      </m:oMathPara>
    </w:p>
    <w:bookmarkEnd w:id="20"/>
    <w:bookmarkStart w:id="21" w:name="missforest"/>
    <w:p>
      <w:pPr>
        <w:pStyle w:val="Heading3"/>
      </w:pPr>
      <w:r>
        <w:t xml:space="preserve">1.3.4 MissForest</w:t>
      </w:r>
    </w:p>
    <w:p>
      <w:pPr>
        <w:pStyle w:val="FirstParagraph"/>
      </w:pPr>
      <w:r>
        <w:t xml:space="preserve">Algorithme itératif non paramétrique basé sur les forêts aléatoires. Pour chaque variable, un Random Forest (100 arbres, profondeur max = 10) est entraîné sur les observations complètes, puis utilisé pour prédire les valeurs manquantes. Implémentation :</w:t>
      </w:r>
      <w:r>
        <w:t xml:space="preserve"> </w:t>
      </w:r>
      <w:r>
        <w:rPr>
          <w:rStyle w:val="VerbatimChar"/>
        </w:rPr>
        <w:t xml:space="preserve">IterativeImputer</w:t>
      </w:r>
      <w:r>
        <w:t xml:space="preserve"> </w:t>
      </w:r>
      <w:r>
        <w:t xml:space="preserve">avec</w:t>
      </w:r>
      <w:r>
        <w:t xml:space="preserve"> </w:t>
      </w:r>
      <w:r>
        <w:rPr>
          <w:rStyle w:val="VerbatimChar"/>
        </w:rPr>
        <w:t xml:space="preserve">RandomForestRegressor</w:t>
      </w:r>
      <w:r>
        <w:t xml:space="preserve"> </w:t>
      </w:r>
      <w:r>
        <w:t xml:space="preserve">(scikit-learn, 5 itérations).</w:t>
      </w:r>
    </w:p>
    <w:p>
      <w:pPr>
        <w:pStyle w:val="BodyText"/>
      </w:pPr>
      <w:r>
        <w:t xml:space="preserve">Avantages décisifs : (1) absence d’hypothèse distributionnelle, (2) capture automatique des interactions non linéaires, (3) robustesse aux outliers, (4) traitement unifié des types mixtes.</w:t>
      </w:r>
    </w:p>
    <w:bookmarkEnd w:id="21"/>
    <w:bookmarkEnd w:id="22"/>
    <w:bookmarkStart w:id="26" w:name="métriques-dévaluation"/>
    <w:p>
      <w:pPr>
        <w:pStyle w:val="Heading2"/>
      </w:pPr>
      <w:r>
        <w:t xml:space="preserve">1.4 Métriques d’évaluation</w:t>
      </w:r>
    </w:p>
    <w:bookmarkStart w:id="23" w:name="variables-continues"/>
    <w:p>
      <w:pPr>
        <w:pStyle w:val="Heading3"/>
      </w:pPr>
      <w:r>
        <w:t xml:space="preserve">Variables continues</w:t>
      </w:r>
    </w:p>
    <w:tbl>
      <w:tblPr>
        <w:tblStyle w:val="Table"/>
        <w:tblW w:type="pct" w:w="5000"/>
        <w:tblLayout w:type="fixed"/>
        <w:tblLook w:firstRow="1" w:lastRow="0" w:firstColumn="0" w:lastColumn="0" w:noHBand="0" w:noVBand="0" w:val="0020"/>
      </w:tblPr>
      <w:tblGrid>
        <w:gridCol w:w="1841"/>
        <w:gridCol w:w="1657"/>
        <w:gridCol w:w="4420"/>
      </w:tblGrid>
      <w:tr>
        <w:trPr>
          <w:tblHeader w:val="on"/>
        </w:trPr>
        <w:tc>
          <w:tcPr/>
          <w:p>
            <w:pPr>
              <w:pStyle w:val="Compact"/>
            </w:pPr>
            <w:r>
              <w:t xml:space="preserve">Métrique</w:t>
            </w:r>
          </w:p>
        </w:tc>
        <w:tc>
          <w:tcPr/>
          <w:p>
            <w:pPr>
              <w:pStyle w:val="Compact"/>
            </w:pPr>
            <w:r>
              <w:t xml:space="preserve">Formule</w:t>
            </w:r>
          </w:p>
        </w:tc>
        <w:tc>
          <w:tcPr/>
          <w:p>
            <w:pPr>
              <w:pStyle w:val="Compact"/>
            </w:pPr>
            <w:r>
              <w:t xml:space="preserve">Interprétation clinique</w:t>
            </w:r>
          </w:p>
        </w:tc>
      </w:tr>
      <w:tr>
        <w:tc>
          <w:tcPr/>
          <w:p>
            <w:pPr>
              <w:pStyle w:val="Compact"/>
            </w:pPr>
            <w:r>
              <w:rPr>
                <w:b/>
                <w:bCs/>
              </w:rPr>
              <w:t xml:space="preserve">RMSE</w:t>
            </w:r>
          </w:p>
        </w:tc>
        <w:tc>
          <w:tcPr/>
          <w:p>
            <w:pPr>
              <w:pStyle w:val="Compact"/>
            </w:pPr>
            <m:oMath>
              <m:rad>
                <m:radPr>
                  <m:degHide m:val="on"/>
                </m:radPr>
                <m:deg/>
                <m:e>
                  <m:f>
                    <m:fPr>
                      <m:type m:val="bar"/>
                    </m:fPr>
                    <m:num>
                      <m:r>
                        <m:t>1</m:t>
                      </m:r>
                    </m:num>
                    <m:den>
                      <m:sSub>
                        <m:e>
                          <m:r>
                            <m:t>n</m:t>
                          </m:r>
                        </m:e>
                        <m:sub>
                          <m:r>
                            <m:t>m</m:t>
                          </m:r>
                          <m:r>
                            <m:t>i</m:t>
                          </m:r>
                          <m:r>
                            <m:t>s</m:t>
                          </m:r>
                          <m:r>
                            <m:t>s</m:t>
                          </m:r>
                        </m:sub>
                      </m:sSub>
                    </m:den>
                  </m:f>
                  <m:r>
                    <m:rPr>
                      <m:sty m:val="p"/>
                    </m:rPr>
                    <m:t>∑</m:t>
                  </m:r>
                  <m:r>
                    <m:rPr>
                      <m:sty m:val="p"/>
                    </m:rPr>
                    <m:t>(</m:t>
                  </m:r>
                  <m:sSubSup>
                    <m:e>
                      <m:r>
                        <m:t>X</m:t>
                      </m:r>
                    </m:e>
                    <m:sub>
                      <m:r>
                        <m:t>i</m:t>
                      </m:r>
                    </m:sub>
                    <m:sup>
                      <m:r>
                        <m:t>t</m:t>
                      </m:r>
                      <m:r>
                        <m:t>r</m:t>
                      </m:r>
                      <m:r>
                        <m:t>u</m:t>
                      </m:r>
                      <m:r>
                        <m:t>e</m:t>
                      </m:r>
                    </m:sup>
                  </m:sSubSup>
                  <m:r>
                    <m:rPr>
                      <m:sty m:val="p"/>
                    </m:rPr>
                    <m:t>−</m:t>
                  </m:r>
                  <m:sSub>
                    <m:e>
                      <m:acc>
                        <m:accPr>
                          <m:chr m:val="̂"/>
                        </m:accPr>
                        <m:e>
                          <m:r>
                            <m:t>X</m:t>
                          </m:r>
                        </m:e>
                      </m:acc>
                    </m:e>
                    <m:sub>
                      <m:r>
                        <m:t>i</m:t>
                      </m:r>
                    </m:sub>
                  </m:sSub>
                  <m:sSup>
                    <m:e>
                      <m:r>
                        <m:rPr>
                          <m:sty m:val="p"/>
                        </m:rPr>
                        <m:t>)</m:t>
                      </m:r>
                    </m:e>
                    <m:sup>
                      <m:r>
                        <m:t>2</m:t>
                      </m:r>
                    </m:sup>
                  </m:sSup>
                </m:e>
              </m:rad>
            </m:oMath>
            <w:r>
              <w:t xml:space="preserve">​</w:t>
            </w:r>
          </w:p>
        </w:tc>
        <w:tc>
          <w:tcPr/>
          <w:p>
            <w:pPr>
              <w:pStyle w:val="Compact"/>
            </w:pPr>
            <w:r>
              <w:t xml:space="preserve">Erreur quadratique : pénalise fortement les écarts cliniquement dangereux</w:t>
            </w:r>
          </w:p>
        </w:tc>
      </w:tr>
      <w:tr>
        <w:tc>
          <w:tcPr/>
          <w:p>
            <w:pPr>
              <w:pStyle w:val="Compact"/>
            </w:pPr>
            <w:r>
              <w:rPr>
                <w:b/>
                <w:bCs/>
              </w:rPr>
              <w:t xml:space="preserve">NRMSE</w:t>
            </w:r>
          </w:p>
        </w:tc>
        <w:tc>
          <w:tcPr/>
          <w:p>
            <w:pPr>
              <w:pStyle w:val="Compact"/>
            </w:pPr>
            <m:oMath>
              <m:r>
                <m:rPr>
                  <m:nor/>
                  <m:sty m:val="p"/>
                </m:rPr>
                <m:t>RMSE</m:t>
              </m:r>
              <m:r>
                <m:rPr>
                  <m:sty m:val="p"/>
                </m:rPr>
                <m:t>/</m:t>
              </m:r>
              <m:r>
                <m:rPr>
                  <m:sty m:val="p"/>
                </m:rPr>
                <m:t>(</m:t>
              </m:r>
              <m:r>
                <m:rPr>
                  <m:sty m:val="p"/>
                </m:rPr>
                <m:t>max</m:t>
              </m:r>
              <m:r>
                <m:rPr>
                  <m:sty m:val="p"/>
                </m:rPr>
                <m:t>(</m:t>
              </m:r>
              <m:r>
                <m:t>X</m:t>
              </m:r>
              <m:r>
                <m:rPr>
                  <m:sty m:val="p"/>
                </m:rPr>
                <m:t>)</m:t>
              </m:r>
              <m:r>
                <m:rPr>
                  <m:sty m:val="p"/>
                </m:rPr>
                <m:t>−</m:t>
              </m:r>
              <m:r>
                <m:rPr>
                  <m:sty m:val="p"/>
                </m:rPr>
                <m:t>min</m:t>
              </m:r>
              <m:r>
                <m:rPr>
                  <m:sty m:val="p"/>
                </m:rPr>
                <m:t>(</m:t>
              </m:r>
              <m:r>
                <m:t>X</m:t>
              </m:r>
              <m:r>
                <m:rPr>
                  <m:sty m:val="p"/>
                </m:rPr>
                <m:t>)</m:t>
              </m:r>
              <m:r>
                <m:rPr>
                  <m:sty m:val="p"/>
                </m:rPr>
                <m:t>)</m:t>
              </m:r>
            </m:oMath>
            <w:r>
              <w:t xml:space="preserve">​</w:t>
            </w:r>
          </w:p>
        </w:tc>
        <w:tc>
          <w:tcPr/>
          <w:p>
            <w:pPr>
              <w:pStyle w:val="Compact"/>
            </w:pPr>
            <w:r>
              <w:t xml:space="preserve">RMSE normalisé, comparable entre variables d’échelles différentes</w:t>
            </w:r>
          </w:p>
        </w:tc>
      </w:tr>
      <w:tr>
        <w:tc>
          <w:tcPr/>
          <w:p>
            <w:pPr>
              <w:pStyle w:val="Compact"/>
            </w:pPr>
            <w:r>
              <w:rPr>
                <w:b/>
                <w:bCs/>
              </w:rPr>
              <w:t xml:space="preserve">MAE</w:t>
            </w:r>
          </w:p>
        </w:tc>
        <w:tc>
          <w:tcPr/>
          <w:p>
            <w:pPr>
              <w:pStyle w:val="Compact"/>
            </w:pPr>
            <m:oMath>
              <m:f>
                <m:fPr>
                  <m:type m:val="bar"/>
                </m:fPr>
                <m:num>
                  <m:r>
                    <m:t>1</m:t>
                  </m:r>
                </m:num>
                <m:den>
                  <m:sSub>
                    <m:e>
                      <m:r>
                        <m:t>n</m:t>
                      </m:r>
                    </m:e>
                    <m:sub>
                      <m:r>
                        <m:t>m</m:t>
                      </m:r>
                      <m:r>
                        <m:t>i</m:t>
                      </m:r>
                      <m:r>
                        <m:t>s</m:t>
                      </m:r>
                      <m:r>
                        <m:t>s</m:t>
                      </m:r>
                    </m:sub>
                  </m:sSub>
                </m:den>
              </m:f>
              <m:r>
                <m:rPr>
                  <m:sty m:val="p"/>
                </m:rPr>
                <m:t>∑</m:t>
              </m:r>
              <m:r>
                <m:rPr>
                  <m:sty m:val="p"/>
                </m:rPr>
                <m:t>∣</m:t>
              </m:r>
              <m:sSubSup>
                <m:e>
                  <m:r>
                    <m:t>X</m:t>
                  </m:r>
                </m:e>
                <m:sub>
                  <m:r>
                    <m:t>i</m:t>
                  </m:r>
                </m:sub>
                <m:sup>
                  <m:r>
                    <m:t>t</m:t>
                  </m:r>
                  <m:r>
                    <m:t>r</m:t>
                  </m:r>
                  <m:r>
                    <m:t>u</m:t>
                  </m:r>
                  <m:r>
                    <m:t>e</m:t>
                  </m:r>
                </m:sup>
              </m:sSubSup>
              <m:r>
                <m:rPr>
                  <m:sty m:val="p"/>
                </m:rPr>
                <m:t>−</m:t>
              </m:r>
              <m:sSub>
                <m:e>
                  <m:acc>
                    <m:accPr>
                      <m:chr m:val="̂"/>
                    </m:accPr>
                    <m:e>
                      <m:r>
                        <m:t>X</m:t>
                      </m:r>
                    </m:e>
                  </m:acc>
                </m:e>
                <m:sub>
                  <m:r>
                    <m:t>i</m:t>
                  </m:r>
                </m:sub>
              </m:sSub>
              <m:r>
                <m:rPr>
                  <m:sty m:val="p"/>
                </m:rPr>
                <m:t>∣</m:t>
              </m:r>
            </m:oMath>
            <w:r>
              <w:t xml:space="preserve">​</w:t>
            </w:r>
          </w:p>
        </w:tc>
        <w:tc>
          <w:tcPr/>
          <w:p>
            <w:pPr>
              <w:pStyle w:val="Compact"/>
            </w:pPr>
            <w:r>
              <w:t xml:space="preserve">Erreur absolue : interprétable dans l’unité originale (ex. mmHg)</w:t>
            </w:r>
          </w:p>
        </w:tc>
      </w:tr>
      <w:tr>
        <w:tc>
          <w:tcPr/>
          <w:p>
            <w:pPr>
              <w:pStyle w:val="Compact"/>
            </w:pPr>
            <w:r>
              <w:rPr>
                <w:b/>
                <w:bCs/>
              </w:rPr>
              <w:t xml:space="preserve">Biais</w:t>
            </w:r>
          </w:p>
        </w:tc>
        <w:tc>
          <w:tcPr/>
          <w:p>
            <w:pPr>
              <w:pStyle w:val="Compact"/>
            </w:pPr>
            <m:oMath>
              <m:f>
                <m:fPr>
                  <m:type m:val="bar"/>
                </m:fPr>
                <m:num>
                  <m:r>
                    <m:t>1</m:t>
                  </m:r>
                </m:num>
                <m:den>
                  <m:sSub>
                    <m:e>
                      <m:r>
                        <m:t>n</m:t>
                      </m:r>
                    </m:e>
                    <m:sub>
                      <m:r>
                        <m:t>m</m:t>
                      </m:r>
                      <m:r>
                        <m:t>i</m:t>
                      </m:r>
                      <m:r>
                        <m:t>s</m:t>
                      </m:r>
                      <m:r>
                        <m:t>s</m:t>
                      </m:r>
                    </m:sub>
                  </m:sSub>
                </m:den>
              </m:f>
              <m:r>
                <m:rPr>
                  <m:sty m:val="p"/>
                </m:rPr>
                <m:t>∑</m:t>
              </m:r>
              <m:r>
                <m:rPr>
                  <m:sty m:val="p"/>
                </m:rPr>
                <m:t>(</m:t>
              </m:r>
              <m:sSub>
                <m:e>
                  <m:acc>
                    <m:accPr>
                      <m:chr m:val="̂"/>
                    </m:accPr>
                    <m:e>
                      <m:r>
                        <m:t>X</m:t>
                      </m:r>
                    </m:e>
                  </m:acc>
                </m:e>
                <m:sub>
                  <m:r>
                    <m:t>i</m:t>
                  </m:r>
                </m:sub>
              </m:sSub>
              <m:r>
                <m:rPr>
                  <m:sty m:val="p"/>
                </m:rPr>
                <m:t>−</m:t>
              </m:r>
              <m:sSubSup>
                <m:e>
                  <m:r>
                    <m:t>X</m:t>
                  </m:r>
                </m:e>
                <m:sub>
                  <m:r>
                    <m:t>i</m:t>
                  </m:r>
                </m:sub>
                <m:sup>
                  <m:r>
                    <m:t>t</m:t>
                  </m:r>
                  <m:r>
                    <m:t>r</m:t>
                  </m:r>
                  <m:r>
                    <m:t>u</m:t>
                  </m:r>
                  <m:r>
                    <m:t>e</m:t>
                  </m:r>
                </m:sup>
              </m:sSubSup>
              <m:r>
                <m:rPr>
                  <m:sty m:val="p"/>
                </m:rPr>
                <m:t>)</m:t>
              </m:r>
            </m:oMath>
            <w:r>
              <w:t xml:space="preserve">​</w:t>
            </w:r>
          </w:p>
        </w:tc>
        <w:tc>
          <w:tcPr/>
          <w:p>
            <w:pPr>
              <w:pStyle w:val="Compact"/>
            </w:pPr>
            <w:r>
              <w:t xml:space="preserve">Erreur systématique directionnelle</w:t>
            </w:r>
          </w:p>
        </w:tc>
      </w:tr>
      <w:tr>
        <w:tc>
          <w:tcPr/>
          <w:p>
            <w:pPr>
              <w:pStyle w:val="Compact"/>
            </w:pPr>
            <w:r>
              <w:rPr>
                <w:b/>
                <w:bCs/>
              </w:rPr>
              <w:t xml:space="preserve">KS</w:t>
            </w:r>
            <w:r>
              <w:rPr>
                <w:b/>
                <w:bCs/>
              </w:rPr>
              <w:t xml:space="preserve"> </w:t>
            </w:r>
            <m:oMath>
              <m:r>
                <m:t>p</m:t>
              </m:r>
            </m:oMath>
          </w:p>
        </w:tc>
        <w:tc>
          <w:tcPr/>
          <w:p>
            <w:pPr>
              <w:pStyle w:val="Compact"/>
            </w:pPr>
            <w:r>
              <w:t xml:space="preserve">Test de Kolmogorov-Smirnov à 2 échantillons</w:t>
            </w:r>
          </w:p>
        </w:tc>
        <w:tc>
          <w:tcPr/>
          <w:p>
            <w:pPr>
              <w:pStyle w:val="Compact"/>
            </w:pPr>
            <w:r>
              <w:t xml:space="preserve">Détecte toute altération de la distribution post-imputation</w:t>
            </w:r>
          </w:p>
        </w:tc>
      </w:tr>
      <w:tr>
        <w:tc>
          <w:tcPr/>
          <w:p>
            <w:pPr>
              <w:pStyle w:val="Compact"/>
            </w:pPr>
            <w:r>
              <w:rPr>
                <w:b/>
                <w:bCs/>
              </w:rPr>
              <w:t xml:space="preserve">Wilcoxon</w:t>
            </w:r>
            <w:r>
              <w:rPr>
                <w:b/>
                <w:bCs/>
              </w:rPr>
              <w:t xml:space="preserve"> </w:t>
            </w:r>
            <m:oMath>
              <m:r>
                <m:t>p</m:t>
              </m:r>
            </m:oMath>
          </w:p>
        </w:tc>
        <w:tc>
          <w:tcPr/>
          <w:p>
            <w:pPr>
              <w:pStyle w:val="Compact"/>
            </w:pPr>
            <w:r>
              <w:t xml:space="preserve">Test de Wilcoxon apparié</w:t>
            </w:r>
          </w:p>
        </w:tc>
        <w:tc>
          <w:tcPr/>
          <w:p>
            <w:pPr>
              <w:pStyle w:val="Compact"/>
            </w:pPr>
            <w:r>
              <w:t xml:space="preserve">Évalue le biais systématique sur les paires (vrai, imputé)</w:t>
            </w:r>
          </w:p>
        </w:tc>
      </w:tr>
    </w:tbl>
    <w:bookmarkEnd w:id="23"/>
    <w:bookmarkStart w:id="24" w:name="variables-catégoriellesordinales"/>
    <w:p>
      <w:pPr>
        <w:pStyle w:val="Heading3"/>
      </w:pPr>
      <w:r>
        <w:t xml:space="preserve">Variables catégorielles/ordinales</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pPr>
            <w:r>
              <w:t xml:space="preserve">Métrique</w:t>
            </w:r>
          </w:p>
        </w:tc>
        <w:tc>
          <w:tcPr/>
          <w:p>
            <w:pPr>
              <w:pStyle w:val="Compact"/>
            </w:pPr>
            <w:r>
              <w:t xml:space="preserve">Interprétation clinique</w:t>
            </w:r>
          </w:p>
        </w:tc>
      </w:tr>
      <w:tr>
        <w:tc>
          <w:tcPr/>
          <w:p>
            <w:pPr>
              <w:pStyle w:val="Compact"/>
            </w:pPr>
            <w:r>
              <w:rPr>
                <w:b/>
                <w:bCs/>
              </w:rPr>
              <w:t xml:space="preserve">F1-score pondéré</w:t>
            </w:r>
          </w:p>
        </w:tc>
        <w:tc>
          <w:tcPr/>
          <w:p>
            <w:pPr>
              <w:pStyle w:val="Compact"/>
            </w:pPr>
            <w:r>
              <w:t xml:space="preserve">Moyenne harmonique précision/rappel, pondérée par la prévalence de chaque classe</w:t>
            </w:r>
          </w:p>
        </w:tc>
      </w:tr>
      <w:tr>
        <w:tc>
          <w:tcPr/>
          <w:p>
            <w:pPr>
              <w:pStyle w:val="Compact"/>
            </w:pPr>
            <w:r>
              <w:rPr>
                <w:b/>
                <w:bCs/>
              </w:rPr>
              <w:t xml:space="preserve">Accuracy</w:t>
            </w:r>
          </w:p>
        </w:tc>
        <w:tc>
          <w:tcPr/>
          <w:p>
            <w:pPr>
              <w:pStyle w:val="Compact"/>
            </w:pPr>
            <w:r>
              <w:t xml:space="preserve">Proportion de classes correctement imputées</w:t>
            </w:r>
          </w:p>
        </w:tc>
      </w:tr>
      <w:tr>
        <w:tc>
          <w:tcPr/>
          <w:p>
            <w:pPr>
              <w:pStyle w:val="Compact"/>
            </w:pPr>
            <w:r>
              <w:rPr>
                <w:b/>
                <w:bCs/>
              </w:rPr>
              <w:t xml:space="preserve">Cohen’s</w:t>
            </w:r>
            <w:r>
              <w:rPr>
                <w:b/>
                <w:bCs/>
              </w:rPr>
              <w:t xml:space="preserve"> </w:t>
            </w:r>
            <m:oMath>
              <m:r>
                <m:t>κ</m:t>
              </m:r>
            </m:oMath>
          </w:p>
        </w:tc>
        <w:tc>
          <w:tcPr/>
          <w:p>
            <w:pPr>
              <w:pStyle w:val="Compact"/>
            </w:pPr>
            <w:r>
              <w:t xml:space="preserve">Accord corrigé du hasard (</w:t>
            </w:r>
            <m:oMath>
              <m:r>
                <m:t>κ</m:t>
              </m:r>
              <m:r>
                <m:rPr>
                  <m:sty m:val="p"/>
                </m:rPr>
                <m:t>=</m:t>
              </m:r>
              <m:r>
                <m:t>0</m:t>
              </m:r>
            </m:oMath>
            <w:r>
              <w:t xml:space="preserve"> </w:t>
            </w:r>
            <w:r>
              <w:t xml:space="preserve">= accord aléatoire,</w:t>
            </w:r>
            <w:r>
              <w:t xml:space="preserve"> </w:t>
            </w:r>
            <m:oMath>
              <m:r>
                <m:t>κ</m:t>
              </m:r>
              <m:r>
                <m:rPr>
                  <m:sty m:val="p"/>
                </m:rPr>
                <m:t>=</m:t>
              </m:r>
              <m:r>
                <m:t>1</m:t>
              </m:r>
            </m:oMath>
            <w:r>
              <w:t xml:space="preserve"> </w:t>
            </w:r>
            <w:r>
              <w:t xml:space="preserve">= accord parfait)</w:t>
            </w:r>
          </w:p>
        </w:tc>
      </w:tr>
      <w:tr>
        <w:tc>
          <w:tcPr/>
          <w:p>
            <w:pPr>
              <w:pStyle w:val="Compact"/>
            </w:pPr>
            <w:r>
              <w:rPr>
                <w:b/>
                <w:bCs/>
              </w:rPr>
              <w:t xml:space="preserve">MCC</w:t>
            </w:r>
          </w:p>
        </w:tc>
        <w:tc>
          <w:tcPr/>
          <w:p>
            <w:pPr>
              <w:pStyle w:val="Compact"/>
            </w:pPr>
            <w:r>
              <w:t xml:space="preserve">Coefficient de corrélation de Matthews : mesure robuste au déséquilibre de classes</w:t>
            </w:r>
          </w:p>
        </w:tc>
      </w:tr>
      <w:tr>
        <w:tc>
          <w:tcPr/>
          <w:p>
            <w:pPr>
              <w:pStyle w:val="Compact"/>
            </w:pPr>
            <w:r>
              <w:rPr>
                <w:b/>
                <w:bCs/>
              </w:rPr>
              <w:t xml:space="preserve">Chi</w:t>
            </w:r>
            <m:oMath>
              <m:sSup>
                <m:e>
                  <m:r>
                    <m:t>​</m:t>
                  </m:r>
                </m:e>
                <m:sup>
                  <m:r>
                    <m:t>2</m:t>
                  </m:r>
                </m:sup>
              </m:sSup>
            </m:oMath>
            <w:r>
              <w:rPr>
                <w:b/>
                <w:bCs/>
              </w:rPr>
              <w:t xml:space="preserve"> </w:t>
            </w:r>
            <m:oMath>
              <m:r>
                <m:t>p</m:t>
              </m:r>
            </m:oMath>
          </w:p>
        </w:tc>
        <w:tc>
          <w:tcPr/>
          <w:p>
            <w:pPr>
              <w:pStyle w:val="Compact"/>
            </w:pPr>
            <w:r>
              <w:t xml:space="preserve">Test d’indépendance entre distributions originale et imputée</w:t>
            </w:r>
          </w:p>
        </w:tc>
      </w:tr>
    </w:tbl>
    <w:bookmarkEnd w:id="24"/>
    <w:bookmarkStart w:id="25" w:name="stabilité-et-variance"/>
    <w:p>
      <w:pPr>
        <w:pStyle w:val="Heading3"/>
      </w:pPr>
      <w:r>
        <w:t xml:space="preserve">Stabilité et variance</w:t>
      </w:r>
    </w:p>
    <w:p>
      <w:pPr>
        <w:pStyle w:val="FirstParagraph"/>
      </w:pPr>
      <w:r>
        <w:t xml:space="preserve">Le ratio de variance</w:t>
      </w:r>
      <w:r>
        <w:t xml:space="preserve"> </w:t>
      </w:r>
      <m:oMath>
        <m:sSub>
          <m:e>
            <m:r>
              <m:t>R</m:t>
            </m:r>
          </m:e>
          <m:sub>
            <m:r>
              <m:t>V</m:t>
            </m:r>
          </m:sub>
        </m:sSub>
        <m:r>
          <m:rPr>
            <m:sty m:val="p"/>
          </m:rPr>
          <m:t>=</m:t>
        </m:r>
        <m:r>
          <m:rPr>
            <m:nor/>
            <m:sty m:val="p"/>
          </m:rPr>
          <m:t>Var</m:t>
        </m:r>
        <m:r>
          <m:rPr>
            <m:sty m:val="p"/>
          </m:rPr>
          <m:t>(</m:t>
        </m:r>
        <m:sSub>
          <m:e>
            <m:r>
              <m:t>X</m:t>
            </m:r>
          </m:e>
          <m:sub>
            <m:r>
              <m:t>i</m:t>
            </m:r>
            <m:r>
              <m:t>m</m:t>
            </m:r>
            <m:r>
              <m:t>p</m:t>
            </m:r>
          </m:sub>
        </m:sSub>
        <m:r>
          <m:rPr>
            <m:sty m:val="p"/>
          </m:rPr>
          <m:t>)</m:t>
        </m:r>
        <m:r>
          <m:rPr>
            <m:sty m:val="p"/>
          </m:rPr>
          <m:t>/</m:t>
        </m:r>
        <m:r>
          <m:rPr>
            <m:nor/>
            <m:sty m:val="p"/>
          </m:rPr>
          <m:t>Var</m:t>
        </m:r>
        <m:r>
          <m:rPr>
            <m:sty m:val="p"/>
          </m:rPr>
          <m:t>(</m:t>
        </m:r>
        <m:sSub>
          <m:e>
            <m:r>
              <m:t>X</m:t>
            </m:r>
          </m:e>
          <m:sub>
            <m:r>
              <m:t>o</m:t>
            </m:r>
            <m:r>
              <m:t>r</m:t>
            </m:r>
            <m:r>
              <m:t>i</m:t>
            </m:r>
            <m:r>
              <m:t>g</m:t>
            </m:r>
          </m:sub>
        </m:sSub>
        <m:r>
          <m:rPr>
            <m:sty m:val="p"/>
          </m:rPr>
          <m:t>)</m:t>
        </m:r>
      </m:oMath>
      <w:r>
        <w:t xml:space="preserve"> </w:t>
      </w:r>
      <w:r>
        <w:t xml:space="preserve">est calculé pour chaque méthode.</w:t>
      </w:r>
      <w:r>
        <w:t xml:space="preserve"> </w:t>
      </w:r>
      <m:oMath>
        <m:sSub>
          <m:e>
            <m:r>
              <m:t>R</m:t>
            </m:r>
          </m:e>
          <m:sub>
            <m:r>
              <m:t>V</m:t>
            </m:r>
          </m:sub>
        </m:sSub>
        <m:r>
          <m:rPr>
            <m:sty m:val="p"/>
          </m:rPr>
          <m:t>&lt;</m:t>
        </m:r>
        <m:r>
          <m:t>1</m:t>
        </m:r>
      </m:oMath>
      <w:r>
        <w:t xml:space="preserve"> </w:t>
      </w:r>
      <w:r>
        <w:t xml:space="preserve">signale une sous-estimation de la variabilité (risque de faux positifs),</w:t>
      </w:r>
      <w:r>
        <w:t xml:space="preserve"> </w:t>
      </w:r>
      <m:oMath>
        <m:sSub>
          <m:e>
            <m:r>
              <m:t>R</m:t>
            </m:r>
          </m:e>
          <m:sub>
            <m:r>
              <m:t>V</m:t>
            </m:r>
          </m:sub>
        </m:sSub>
        <m:r>
          <m:rPr>
            <m:sty m:val="p"/>
          </m:rPr>
          <m:t>&gt;</m:t>
        </m:r>
        <m:r>
          <m:t>1</m:t>
        </m:r>
      </m:oMath>
      <w:r>
        <w:t xml:space="preserve"> </w:t>
      </w:r>
      <w:r>
        <w:t xml:space="preserve">une inflation de variance (risque de faux négatifs).</w:t>
      </w:r>
    </w:p>
    <w:bookmarkEnd w:id="25"/>
    <w:bookmarkEnd w:id="26"/>
    <w:bookmarkStart w:id="27" w:name="analyses-statistiques-comparatives"/>
    <w:p>
      <w:pPr>
        <w:pStyle w:val="Heading2"/>
      </w:pPr>
      <w:r>
        <w:t xml:space="preserve">1.5 Analyses statistiques comparatives</w:t>
      </w:r>
    </w:p>
    <w:p>
      <w:pPr>
        <w:pStyle w:val="FirstParagraph"/>
      </w:pPr>
      <w:r>
        <w:t xml:space="preserve">Pour comparer formellement les méthodes, le</w:t>
      </w:r>
      <w:r>
        <w:t xml:space="preserve"> </w:t>
      </w:r>
      <w:r>
        <w:rPr>
          <w:b/>
          <w:bCs/>
        </w:rPr>
        <w:t xml:space="preserve">test de Friedman</w:t>
      </w:r>
      <w:r>
        <w:t xml:space="preserve"> </w:t>
      </w:r>
      <w:r>
        <w:t xml:space="preserve">(alternative non paramétrique à l’ANOVA à mesures répétées) est appliqué sur les classements des méthodes par variable. L’hypothèse nulle</w:t>
      </w:r>
      <w:r>
        <w:t xml:space="preserve"> </w:t>
      </w:r>
      <m:oMath>
        <m:sSub>
          <m:e>
            <m:r>
              <m:t>H</m:t>
            </m:r>
          </m:e>
          <m:sub>
            <m:r>
              <m:t>0</m:t>
            </m:r>
          </m:sub>
        </m:sSub>
      </m:oMath>
      <w:r>
        <w:t xml:space="preserve"> </w:t>
      </w:r>
      <w:r>
        <w:t xml:space="preserve">postule que toutes les méthodes sont équivalentes. En cas de rejet (</w:t>
      </w:r>
      <m:oMath>
        <m:r>
          <m:t>p</m:t>
        </m:r>
        <m:r>
          <m:rPr>
            <m:sty m:val="p"/>
          </m:rPr>
          <m:t>&lt;</m:t>
        </m:r>
        <m:r>
          <m:t>0</m:t>
        </m:r>
        <m:r>
          <m:rPr>
            <m:sty m:val="p"/>
          </m:rPr>
          <m:t>,</m:t>
        </m:r>
        <m:r>
          <m:t>05</m:t>
        </m:r>
      </m:oMath>
      <w:r>
        <w:t xml:space="preserve">), des comparaisons post-hoc de Nemenyi sont recommandées.</w:t>
      </w:r>
    </w:p>
    <w:bookmarkEnd w:id="27"/>
    <w:bookmarkStart w:id="28" w:name="évaluation-de-limpact-clinique"/>
    <w:p>
      <w:pPr>
        <w:pStyle w:val="Heading2"/>
      </w:pPr>
      <w:r>
        <w:t xml:space="preserve">1.6 Évaluation de l’impact clinique</w:t>
      </w:r>
    </w:p>
    <w:p>
      <w:pPr>
        <w:pStyle w:val="FirstParagraph"/>
      </w:pPr>
      <w:r>
        <w:t xml:space="preserve">Un modèle de régression logistique prédisant le statut HTA (hypertension artérielle) à partir des variables continues imputées est ajusté après chaque imputation. Le biais sur les coefficients</w:t>
      </w:r>
      <w:r>
        <w:t xml:space="preserve"> </w:t>
      </w:r>
      <m:oMath>
        <m:r>
          <m:t>β</m:t>
        </m:r>
      </m:oMath>
      <w:r>
        <w:t xml:space="preserve"> </w:t>
      </w:r>
      <w:r>
        <w:t xml:space="preserve">est quantifié comme la différence absolue moyenne par rapport au modèle de référence (données originales complètes). Un modèle de régression linéaire prédisant l’IMC est également ajusté pour évaluer l’impact sur les analyses de variables continues.</w:t>
      </w:r>
    </w:p>
    <w:p>
      <w:r>
        <w:pict>
          <v:rect style="width:0;height:1.5pt" o:hralign="center" o:hrstd="t" o:hr="t"/>
        </w:pict>
      </w:r>
    </w:p>
    <w:bookmarkEnd w:id="28"/>
    <w:bookmarkEnd w:id="29"/>
    <w:bookmarkStart w:id="41" w:name="section-2-résultats"/>
    <w:p>
      <w:pPr>
        <w:pStyle w:val="Heading1"/>
      </w:pPr>
      <w:r>
        <w:t xml:space="preserve">SECTION 2 : RÉSULTATS</w:t>
      </w:r>
    </w:p>
    <w:bookmarkStart w:id="32" w:name="performance-globale-tableau-1"/>
    <w:p>
      <w:pPr>
        <w:pStyle w:val="Heading2"/>
      </w:pPr>
      <w:r>
        <w:t xml:space="preserve">2.1 Performance globale (Tableau 1)</w:t>
      </w:r>
    </w:p>
    <w:bookmarkStart w:id="30" w:name="X271b835250a67b9fa728c035ddf815345dd3ea5"/>
    <w:p>
      <w:pPr>
        <w:pStyle w:val="Heading3"/>
      </w:pPr>
      <w:r>
        <w:t xml:space="preserve">Tableau 1 — Synthèse des performances par mécanisme, taux et méthode (MCAR,</w:t>
      </w:r>
      <w:r>
        <w:t xml:space="preserve"> </w:t>
      </w:r>
      <m:oMath>
        <m:r>
          <m:t>M</m:t>
        </m:r>
        <m:r>
          <m:rPr>
            <m:sty m:val="p"/>
          </m:rPr>
          <m:t>=</m:t>
        </m:r>
        <m:r>
          <m:t>5</m:t>
        </m:r>
      </m:oMath>
      <w:r>
        <w:t xml:space="preserve"> </w:t>
      </w:r>
      <w:r>
        <w:t xml:space="preserve">répétitions)</w:t>
      </w:r>
    </w:p>
    <w:p>
      <w:pPr>
        <w:pStyle w:val="FirstParagraph"/>
      </w:pPr>
      <w:r>
        <w:rPr>
          <w:b/>
          <w:bCs/>
        </w:rPr>
        <w:t xml:space="preserve">Variables continues (</w:t>
      </w:r>
      <m:oMath>
        <m:r>
          <m:t>n</m:t>
        </m:r>
        <m:r>
          <m:rPr>
            <m:sty m:val="p"/>
          </m:rPr>
          <m:t>=</m:t>
        </m:r>
        <m:r>
          <m:t>29</m:t>
        </m:r>
      </m:oMath>
      <w:r>
        <w:rPr>
          <w:b/>
          <w:bCs/>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Taux</w:t>
            </w:r>
          </w:p>
        </w:tc>
        <w:tc>
          <w:tcPr/>
          <w:p>
            <w:pPr>
              <w:pStyle w:val="Compact"/>
            </w:pPr>
            <w:r>
              <w:t xml:space="preserve">Méthode</w:t>
            </w:r>
          </w:p>
        </w:tc>
        <w:tc>
          <w:tcPr/>
          <w:p>
            <w:pPr>
              <w:pStyle w:val="Compact"/>
            </w:pPr>
            <w:r>
              <w:t xml:space="preserve">RMSE</w:t>
            </w:r>
          </w:p>
        </w:tc>
        <w:tc>
          <w:tcPr/>
          <w:p>
            <w:pPr>
              <w:pStyle w:val="Compact"/>
            </w:pPr>
            <w:r>
              <w:t xml:space="preserve">MAE</w:t>
            </w:r>
          </w:p>
        </w:tc>
        <w:tc>
          <w:tcPr/>
          <w:p>
            <w:pPr>
              <w:pStyle w:val="Compact"/>
            </w:pPr>
            <w:r>
              <w:t xml:space="preserve">KS</w:t>
            </w:r>
            <w:r>
              <w:t xml:space="preserve"> </w:t>
            </w:r>
            <m:oMath>
              <m:r>
                <m:t>p</m:t>
              </m:r>
              <m:r>
                <m:rPr>
                  <m:sty m:val="p"/>
                </m:rPr>
                <m:t>&lt;</m:t>
              </m:r>
              <m:r>
                <m:t>0</m:t>
              </m:r>
              <m:r>
                <m:rPr>
                  <m:sty m:val="p"/>
                </m:rPr>
                <m:t>,</m:t>
              </m:r>
              <m:r>
                <m:t>05</m:t>
              </m:r>
            </m:oMath>
            <w:r>
              <w:t xml:space="preserve"> </w:t>
            </w:r>
            <w:r>
              <w:t xml:space="preserve">(%)</w:t>
            </w:r>
          </w:p>
        </w:tc>
        <w:tc>
          <w:tcPr/>
          <w:p>
            <w:pPr>
              <w:pStyle w:val="Compact"/>
            </w:pPr>
            <m:oMath>
              <m:sSub>
                <m:e>
                  <m:r>
                    <m:t>R</m:t>
                  </m:r>
                </m:e>
                <m:sub>
                  <m:r>
                    <m:t>V</m:t>
                  </m:r>
                </m:sub>
              </m:sSub>
            </m:oMath>
            <w:r>
              <w:t xml:space="preserve">​</w:t>
            </w:r>
          </w:p>
        </w:tc>
      </w:tr>
      <w:tr>
        <w:tc>
          <w:tcPr/>
          <w:p>
            <w:pPr>
              <w:pStyle w:val="Compact"/>
            </w:pPr>
            <w:r>
              <w:rPr>
                <w:b/>
                <w:bCs/>
              </w:rPr>
              <w:t xml:space="preserve">10 %</w:t>
            </w:r>
          </w:p>
        </w:tc>
        <w:tc>
          <w:tcPr/>
          <w:p>
            <w:pPr>
              <w:pStyle w:val="Compact"/>
            </w:pPr>
            <w:r>
              <w:t xml:space="preserve">Médiane/Mode</w:t>
            </w:r>
          </w:p>
        </w:tc>
        <w:tc>
          <w:tcPr/>
          <w:p>
            <w:pPr>
              <w:pStyle w:val="Compact"/>
            </w:pPr>
            <w:r>
              <w:t xml:space="preserve">56,20</w:t>
            </w:r>
          </w:p>
        </w:tc>
        <w:tc>
          <w:tcPr/>
          <w:p>
            <w:pPr>
              <w:pStyle w:val="Compact"/>
            </w:pPr>
            <w:r>
              <w:t xml:space="preserve">31,46</w:t>
            </w:r>
          </w:p>
        </w:tc>
        <w:tc>
          <w:tcPr/>
          <w:p>
            <w:pPr>
              <w:pStyle w:val="Compact"/>
            </w:pPr>
            <w:r>
              <w:t xml:space="preserve">0,0 %</w:t>
            </w:r>
          </w:p>
        </w:tc>
        <w:tc>
          <w:tcPr/>
          <w:p>
            <w:pPr>
              <w:pStyle w:val="Compact"/>
            </w:pPr>
            <w:r>
              <w:t xml:space="preserve">0,907</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50,78</w:t>
            </w:r>
          </w:p>
        </w:tc>
        <w:tc>
          <w:tcPr/>
          <w:p>
            <w:pPr>
              <w:pStyle w:val="Compact"/>
            </w:pPr>
            <w:r>
              <w:t xml:space="preserve">36,62</w:t>
            </w:r>
          </w:p>
        </w:tc>
        <w:tc>
          <w:tcPr/>
          <w:p>
            <w:pPr>
              <w:pStyle w:val="Compact"/>
            </w:pPr>
            <w:r>
              <w:t xml:space="preserve">0,0 %</w:t>
            </w:r>
          </w:p>
        </w:tc>
        <w:tc>
          <w:tcPr/>
          <w:p>
            <w:pPr>
              <w:pStyle w:val="Compact"/>
            </w:pPr>
            <w:r>
              <w:t xml:space="preserve">0,922</w:t>
            </w:r>
          </w:p>
        </w:tc>
      </w:tr>
      <w:tr>
        <w:tc>
          <w:tcPr/>
          <w:p>
            <w:pPr>
              <w:pStyle w:val="Compact"/>
            </w:pPr>
          </w:p>
        </w:tc>
        <w:tc>
          <w:tcPr/>
          <w:p>
            <w:pPr>
              <w:pStyle w:val="Compact"/>
            </w:pPr>
            <w:r>
              <w:t xml:space="preserve">MICE (BayesianRidge)</w:t>
            </w:r>
          </w:p>
        </w:tc>
        <w:tc>
          <w:tcPr/>
          <w:p>
            <w:pPr>
              <w:pStyle w:val="Compact"/>
            </w:pPr>
            <w:r>
              <w:t xml:space="preserve">67,36</w:t>
            </w:r>
          </w:p>
        </w:tc>
        <w:tc>
          <w:tcPr/>
          <w:p>
            <w:pPr>
              <w:pStyle w:val="Compact"/>
            </w:pPr>
            <w:r>
              <w:t xml:space="preserve">51,22</w:t>
            </w:r>
          </w:p>
        </w:tc>
        <w:tc>
          <w:tcPr/>
          <w:p>
            <w:pPr>
              <w:pStyle w:val="Compact"/>
            </w:pPr>
            <w:r>
              <w:t xml:space="preserve">0,0 %</w:t>
            </w:r>
          </w:p>
        </w:tc>
        <w:tc>
          <w:tcPr/>
          <w:p>
            <w:pPr>
              <w:pStyle w:val="Compact"/>
            </w:pPr>
            <w:r>
              <w:t xml:space="preserve">1,007</w:t>
            </w:r>
          </w:p>
        </w:tc>
      </w:tr>
      <w:tr>
        <w:tc>
          <w:tcPr/>
          <w:p>
            <w:pPr>
              <w:pStyle w:val="Compact"/>
            </w:pPr>
          </w:p>
        </w:tc>
        <w:tc>
          <w:tcPr/>
          <w:p>
            <w:pPr>
              <w:pStyle w:val="Compact"/>
            </w:pPr>
            <w:r>
              <w:rPr>
                <w:b/>
                <w:bCs/>
              </w:rPr>
              <w:t xml:space="preserve">MissForest</w:t>
            </w:r>
          </w:p>
        </w:tc>
        <w:tc>
          <w:tcPr/>
          <w:p>
            <w:pPr>
              <w:pStyle w:val="Compact"/>
            </w:pPr>
            <w:r>
              <w:rPr>
                <w:b/>
                <w:bCs/>
              </w:rPr>
              <w:t xml:space="preserve">26,27</w:t>
            </w:r>
          </w:p>
        </w:tc>
        <w:tc>
          <w:tcPr/>
          <w:p>
            <w:pPr>
              <w:pStyle w:val="Compact"/>
            </w:pPr>
            <w:r>
              <w:rPr>
                <w:b/>
                <w:bCs/>
              </w:rPr>
              <w:t xml:space="preserve">15,20</w:t>
            </w:r>
          </w:p>
        </w:tc>
        <w:tc>
          <w:tcPr/>
          <w:p>
            <w:pPr>
              <w:pStyle w:val="Compact"/>
            </w:pPr>
            <w:r>
              <w:t xml:space="preserve">0,0 %</w:t>
            </w:r>
          </w:p>
        </w:tc>
        <w:tc>
          <w:tcPr/>
          <w:p>
            <w:pPr>
              <w:pStyle w:val="Compact"/>
            </w:pPr>
            <w:r>
              <w:rPr>
                <w:b/>
                <w:bCs/>
              </w:rPr>
              <w:t xml:space="preserve">0,959</w:t>
            </w:r>
          </w:p>
        </w:tc>
      </w:tr>
      <w:tr>
        <w:tc>
          <w:tcPr/>
          <w:p>
            <w:pPr>
              <w:pStyle w:val="Compact"/>
            </w:pPr>
            <w:r>
              <w:rPr>
                <w:b/>
                <w:bCs/>
              </w:rPr>
              <w:t xml:space="preserve">20 %</w:t>
            </w:r>
          </w:p>
        </w:tc>
        <w:tc>
          <w:tcPr/>
          <w:p>
            <w:pPr>
              <w:pStyle w:val="Compact"/>
            </w:pPr>
            <w:r>
              <w:t xml:space="preserve">Médiane/Mode</w:t>
            </w:r>
          </w:p>
        </w:tc>
        <w:tc>
          <w:tcPr/>
          <w:p>
            <w:pPr>
              <w:pStyle w:val="Compact"/>
            </w:pPr>
            <w:r>
              <w:t xml:space="preserve">60,47</w:t>
            </w:r>
          </w:p>
        </w:tc>
        <w:tc>
          <w:tcPr/>
          <w:p>
            <w:pPr>
              <w:pStyle w:val="Compact"/>
            </w:pPr>
            <w:r>
              <w:t xml:space="preserve">30,97</w:t>
            </w:r>
          </w:p>
        </w:tc>
        <w:tc>
          <w:tcPr/>
          <w:p>
            <w:pPr>
              <w:pStyle w:val="Compact"/>
            </w:pPr>
            <w:r>
              <w:t xml:space="preserve">17,2 %</w:t>
            </w:r>
          </w:p>
        </w:tc>
        <w:tc>
          <w:tcPr/>
          <w:p>
            <w:pPr>
              <w:pStyle w:val="Compact"/>
            </w:pPr>
            <w:r>
              <w:t xml:space="preserve">0,812</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55,09</w:t>
            </w:r>
          </w:p>
        </w:tc>
        <w:tc>
          <w:tcPr/>
          <w:p>
            <w:pPr>
              <w:pStyle w:val="Compact"/>
            </w:pPr>
            <w:r>
              <w:t xml:space="preserve">34,89</w:t>
            </w:r>
          </w:p>
        </w:tc>
        <w:tc>
          <w:tcPr/>
          <w:p>
            <w:pPr>
              <w:pStyle w:val="Compact"/>
            </w:pPr>
            <w:r>
              <w:t xml:space="preserve">0,0 %</w:t>
            </w:r>
          </w:p>
        </w:tc>
        <w:tc>
          <w:tcPr/>
          <w:p>
            <w:pPr>
              <w:pStyle w:val="Compact"/>
            </w:pPr>
            <w:r>
              <w:t xml:space="preserve">0,836</w:t>
            </w:r>
          </w:p>
        </w:tc>
      </w:tr>
      <w:tr>
        <w:tc>
          <w:tcPr/>
          <w:p>
            <w:pPr>
              <w:pStyle w:val="Compact"/>
            </w:pPr>
          </w:p>
        </w:tc>
        <w:tc>
          <w:tcPr/>
          <w:p>
            <w:pPr>
              <w:pStyle w:val="Compact"/>
            </w:pPr>
            <w:r>
              <w:t xml:space="preserve">MICE (BayesianRidge)</w:t>
            </w:r>
          </w:p>
        </w:tc>
        <w:tc>
          <w:tcPr/>
          <w:p>
            <w:pPr>
              <w:pStyle w:val="Compact"/>
            </w:pPr>
            <w:r>
              <w:t xml:space="preserve">70,28</w:t>
            </w:r>
          </w:p>
        </w:tc>
        <w:tc>
          <w:tcPr/>
          <w:p>
            <w:pPr>
              <w:pStyle w:val="Compact"/>
            </w:pPr>
            <w:r>
              <w:t xml:space="preserve">52,47</w:t>
            </w:r>
          </w:p>
        </w:tc>
        <w:tc>
          <w:tcPr/>
          <w:p>
            <w:pPr>
              <w:pStyle w:val="Compact"/>
            </w:pPr>
            <w:r>
              <w:t xml:space="preserve">3,4 %</w:t>
            </w:r>
          </w:p>
        </w:tc>
        <w:tc>
          <w:tcPr/>
          <w:p>
            <w:pPr>
              <w:pStyle w:val="Compact"/>
            </w:pPr>
            <w:r>
              <w:t xml:space="preserve">1,031</w:t>
            </w:r>
          </w:p>
        </w:tc>
      </w:tr>
      <w:tr>
        <w:tc>
          <w:tcPr/>
          <w:p>
            <w:pPr>
              <w:pStyle w:val="Compact"/>
            </w:pPr>
          </w:p>
        </w:tc>
        <w:tc>
          <w:tcPr/>
          <w:p>
            <w:pPr>
              <w:pStyle w:val="Compact"/>
            </w:pPr>
            <w:r>
              <w:rPr>
                <w:b/>
                <w:bCs/>
              </w:rPr>
              <w:t xml:space="preserve">MissForest</w:t>
            </w:r>
          </w:p>
        </w:tc>
        <w:tc>
          <w:tcPr/>
          <w:p>
            <w:pPr>
              <w:pStyle w:val="Compact"/>
            </w:pPr>
            <w:r>
              <w:rPr>
                <w:b/>
                <w:bCs/>
              </w:rPr>
              <w:t xml:space="preserve">32,53</w:t>
            </w:r>
          </w:p>
        </w:tc>
        <w:tc>
          <w:tcPr/>
          <w:p>
            <w:pPr>
              <w:pStyle w:val="Compact"/>
            </w:pPr>
            <w:r>
              <w:rPr>
                <w:b/>
                <w:bCs/>
              </w:rPr>
              <w:t xml:space="preserve">17,17</w:t>
            </w:r>
          </w:p>
        </w:tc>
        <w:tc>
          <w:tcPr/>
          <w:p>
            <w:pPr>
              <w:pStyle w:val="Compact"/>
            </w:pPr>
            <w:r>
              <w:t xml:space="preserve">6,9 %</w:t>
            </w:r>
          </w:p>
        </w:tc>
        <w:tc>
          <w:tcPr/>
          <w:p>
            <w:pPr>
              <w:pStyle w:val="Compact"/>
            </w:pPr>
            <w:r>
              <w:rPr>
                <w:b/>
                <w:bCs/>
              </w:rPr>
              <w:t xml:space="preserve">0,922</w:t>
            </w:r>
          </w:p>
        </w:tc>
      </w:tr>
      <w:tr>
        <w:tc>
          <w:tcPr/>
          <w:p>
            <w:pPr>
              <w:pStyle w:val="Compact"/>
            </w:pPr>
            <w:r>
              <w:rPr>
                <w:b/>
                <w:bCs/>
              </w:rPr>
              <w:t xml:space="preserve">40 %</w:t>
            </w:r>
          </w:p>
        </w:tc>
        <w:tc>
          <w:tcPr/>
          <w:p>
            <w:pPr>
              <w:pStyle w:val="Compact"/>
            </w:pPr>
            <w:r>
              <w:t xml:space="preserve">Médiane/Mode</w:t>
            </w:r>
          </w:p>
        </w:tc>
        <w:tc>
          <w:tcPr/>
          <w:p>
            <w:pPr>
              <w:pStyle w:val="Compact"/>
            </w:pPr>
            <w:r>
              <w:t xml:space="preserve">59,77</w:t>
            </w:r>
          </w:p>
        </w:tc>
        <w:tc>
          <w:tcPr/>
          <w:p>
            <w:pPr>
              <w:pStyle w:val="Compact"/>
            </w:pPr>
            <w:r>
              <w:t xml:space="preserve">31,55</w:t>
            </w:r>
          </w:p>
        </w:tc>
        <w:tc>
          <w:tcPr/>
          <w:p>
            <w:pPr>
              <w:pStyle w:val="Compact"/>
            </w:pPr>
            <w:r>
              <w:rPr>
                <w:b/>
                <w:bCs/>
              </w:rPr>
              <w:t xml:space="preserve">89,7 %</w:t>
            </w:r>
          </w:p>
        </w:tc>
        <w:tc>
          <w:tcPr/>
          <w:p>
            <w:pPr>
              <w:pStyle w:val="Compact"/>
            </w:pPr>
            <w:r>
              <w:rPr>
                <w:b/>
                <w:bCs/>
              </w:rPr>
              <w:t xml:space="preserve">0,620</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55,04</w:t>
            </w:r>
          </w:p>
        </w:tc>
        <w:tc>
          <w:tcPr/>
          <w:p>
            <w:pPr>
              <w:pStyle w:val="Compact"/>
            </w:pPr>
            <w:r>
              <w:t xml:space="preserve">37,00</w:t>
            </w:r>
          </w:p>
        </w:tc>
        <w:tc>
          <w:tcPr/>
          <w:p>
            <w:pPr>
              <w:pStyle w:val="Compact"/>
            </w:pPr>
            <w:r>
              <w:t xml:space="preserve">20,7 %</w:t>
            </w:r>
          </w:p>
        </w:tc>
        <w:tc>
          <w:tcPr/>
          <w:p>
            <w:pPr>
              <w:pStyle w:val="Compact"/>
            </w:pPr>
            <w:r>
              <w:t xml:space="preserve">0,672</w:t>
            </w:r>
          </w:p>
        </w:tc>
      </w:tr>
      <w:tr>
        <w:tc>
          <w:tcPr/>
          <w:p>
            <w:pPr>
              <w:pStyle w:val="Compact"/>
            </w:pPr>
          </w:p>
        </w:tc>
        <w:tc>
          <w:tcPr/>
          <w:p>
            <w:pPr>
              <w:pStyle w:val="Compact"/>
            </w:pPr>
            <w:r>
              <w:t xml:space="preserve">MICE (BayesianRidge)</w:t>
            </w:r>
          </w:p>
        </w:tc>
        <w:tc>
          <w:tcPr/>
          <w:p>
            <w:pPr>
              <w:pStyle w:val="Compact"/>
            </w:pPr>
            <w:r>
              <w:t xml:space="preserve">74,55</w:t>
            </w:r>
          </w:p>
        </w:tc>
        <w:tc>
          <w:tcPr/>
          <w:p>
            <w:pPr>
              <w:pStyle w:val="Compact"/>
            </w:pPr>
            <w:r>
              <w:t xml:space="preserve">57,19</w:t>
            </w:r>
          </w:p>
        </w:tc>
        <w:tc>
          <w:tcPr/>
          <w:p>
            <w:pPr>
              <w:pStyle w:val="Compact"/>
            </w:pPr>
            <w:r>
              <w:t xml:space="preserve">37,9 %</w:t>
            </w:r>
          </w:p>
        </w:tc>
        <w:tc>
          <w:tcPr/>
          <w:p>
            <w:pPr>
              <w:pStyle w:val="Compact"/>
            </w:pPr>
            <w:r>
              <w:t xml:space="preserve">1,121</w:t>
            </w:r>
          </w:p>
        </w:tc>
      </w:tr>
      <w:tr>
        <w:tc>
          <w:tcPr/>
          <w:p>
            <w:pPr>
              <w:pStyle w:val="Compact"/>
            </w:pPr>
          </w:p>
        </w:tc>
        <w:tc>
          <w:tcPr/>
          <w:p>
            <w:pPr>
              <w:pStyle w:val="Compact"/>
            </w:pPr>
            <w:r>
              <w:rPr>
                <w:b/>
                <w:bCs/>
              </w:rPr>
              <w:t xml:space="preserve">MissForest</w:t>
            </w:r>
          </w:p>
        </w:tc>
        <w:tc>
          <w:tcPr/>
          <w:p>
            <w:pPr>
              <w:pStyle w:val="Compact"/>
            </w:pPr>
            <w:r>
              <w:rPr>
                <w:b/>
                <w:bCs/>
              </w:rPr>
              <w:t xml:space="preserve">39,92</w:t>
            </w:r>
          </w:p>
        </w:tc>
        <w:tc>
          <w:tcPr/>
          <w:p>
            <w:pPr>
              <w:pStyle w:val="Compact"/>
            </w:pPr>
            <w:r>
              <w:rPr>
                <w:b/>
                <w:bCs/>
              </w:rPr>
              <w:t xml:space="preserve">21,45</w:t>
            </w:r>
          </w:p>
        </w:tc>
        <w:tc>
          <w:tcPr/>
          <w:p>
            <w:pPr>
              <w:pStyle w:val="Compact"/>
            </w:pPr>
            <w:r>
              <w:t xml:space="preserve">17,2 %</w:t>
            </w:r>
          </w:p>
        </w:tc>
        <w:tc>
          <w:tcPr/>
          <w:p>
            <w:pPr>
              <w:pStyle w:val="Compact"/>
            </w:pPr>
            <w:r>
              <w:rPr>
                <w:b/>
                <w:bCs/>
              </w:rPr>
              <w:t xml:space="preserve">0,824</w:t>
            </w:r>
          </w:p>
        </w:tc>
      </w:tr>
    </w:tbl>
    <w:p>
      <w:pPr>
        <w:pStyle w:val="BodyText"/>
      </w:pPr>
      <w:r>
        <w:rPr>
          <w:b/>
          <w:bCs/>
        </w:rPr>
        <w:t xml:space="preserve">Variables binaires (</w:t>
      </w:r>
      <m:oMath>
        <m:r>
          <m:t>n</m:t>
        </m:r>
        <m:r>
          <m:rPr>
            <m:sty m:val="p"/>
          </m:rPr>
          <m:t>=</m:t>
        </m:r>
        <m:r>
          <m:t>2</m:t>
        </m:r>
      </m:oMath>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Taux</w:t>
            </w:r>
          </w:p>
        </w:tc>
        <w:tc>
          <w:tcPr/>
          <w:p>
            <w:pPr>
              <w:pStyle w:val="Compact"/>
            </w:pPr>
            <w:r>
              <w:t xml:space="preserve">Méthode</w:t>
            </w:r>
          </w:p>
        </w:tc>
        <w:tc>
          <w:tcPr/>
          <w:p>
            <w:pPr>
              <w:pStyle w:val="Compact"/>
            </w:pPr>
            <w:r>
              <w:t xml:space="preserve">F1</w:t>
            </w:r>
          </w:p>
        </w:tc>
        <w:tc>
          <w:tcPr/>
          <w:p>
            <w:pPr>
              <w:pStyle w:val="Compact"/>
            </w:pPr>
            <w:r>
              <w:t xml:space="preserve">Accuracy</w:t>
            </w:r>
          </w:p>
        </w:tc>
        <w:tc>
          <w:tcPr/>
          <w:p>
            <w:pPr>
              <w:pStyle w:val="Compact"/>
            </w:pPr>
            <m:oMath>
              <m:r>
                <m:t>κ</m:t>
              </m:r>
            </m:oMath>
            <w:r>
              <w:t xml:space="preserve">​</w:t>
            </w:r>
          </w:p>
        </w:tc>
      </w:tr>
      <w:tr>
        <w:tc>
          <w:tcPr/>
          <w:p>
            <w:pPr>
              <w:pStyle w:val="Compact"/>
            </w:pPr>
            <w:r>
              <w:rPr>
                <w:b/>
                <w:bCs/>
              </w:rPr>
              <w:t xml:space="preserve">10 %</w:t>
            </w:r>
          </w:p>
        </w:tc>
        <w:tc>
          <w:tcPr/>
          <w:p>
            <w:pPr>
              <w:pStyle w:val="Compact"/>
            </w:pPr>
            <w:r>
              <w:t xml:space="preserve">Médiane/Mode</w:t>
            </w:r>
          </w:p>
        </w:tc>
        <w:tc>
          <w:tcPr/>
          <w:p>
            <w:pPr>
              <w:pStyle w:val="Compact"/>
            </w:pPr>
            <w:r>
              <w:t xml:space="preserve">0,471</w:t>
            </w:r>
          </w:p>
        </w:tc>
        <w:tc>
          <w:tcPr/>
          <w:p>
            <w:pPr>
              <w:pStyle w:val="Compact"/>
            </w:pPr>
            <w:r>
              <w:t xml:space="preserve">0,615</w:t>
            </w:r>
          </w:p>
        </w:tc>
        <w:tc>
          <w:tcPr/>
          <w:p>
            <w:pPr>
              <w:pStyle w:val="Compact"/>
            </w:pPr>
            <w:r>
              <w:t xml:space="preserve">0,000</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0,626</w:t>
            </w:r>
          </w:p>
        </w:tc>
        <w:tc>
          <w:tcPr/>
          <w:p>
            <w:pPr>
              <w:pStyle w:val="Compact"/>
            </w:pPr>
            <w:r>
              <w:t xml:space="preserve">0,641</w:t>
            </w:r>
          </w:p>
        </w:tc>
        <w:tc>
          <w:tcPr/>
          <w:p>
            <w:pPr>
              <w:pStyle w:val="Compact"/>
            </w:pPr>
            <w:r>
              <w:t xml:space="preserve">0,231</w:t>
            </w:r>
          </w:p>
        </w:tc>
      </w:tr>
      <w:tr>
        <w:tc>
          <w:tcPr/>
          <w:p>
            <w:pPr>
              <w:pStyle w:val="Compact"/>
            </w:pPr>
          </w:p>
        </w:tc>
        <w:tc>
          <w:tcPr/>
          <w:p>
            <w:pPr>
              <w:pStyle w:val="Compact"/>
            </w:pPr>
            <w:r>
              <w:t xml:space="preserve">MICE (BayesianRidge)</w:t>
            </w:r>
          </w:p>
        </w:tc>
        <w:tc>
          <w:tcPr/>
          <w:p>
            <w:pPr>
              <w:pStyle w:val="Compact"/>
            </w:pPr>
            <w:r>
              <w:t xml:space="preserve">0,632</w:t>
            </w:r>
          </w:p>
        </w:tc>
        <w:tc>
          <w:tcPr/>
          <w:p>
            <w:pPr>
              <w:pStyle w:val="Compact"/>
            </w:pPr>
            <w:r>
              <w:t xml:space="preserve">0,638</w:t>
            </w:r>
          </w:p>
        </w:tc>
        <w:tc>
          <w:tcPr/>
          <w:p>
            <w:pPr>
              <w:pStyle w:val="Compact"/>
            </w:pPr>
            <w:r>
              <w:t xml:space="preserve">0,237</w:t>
            </w:r>
          </w:p>
        </w:tc>
      </w:tr>
      <w:tr>
        <w:tc>
          <w:tcPr/>
          <w:p>
            <w:pPr>
              <w:pStyle w:val="Compact"/>
            </w:pPr>
          </w:p>
        </w:tc>
        <w:tc>
          <w:tcPr/>
          <w:p>
            <w:pPr>
              <w:pStyle w:val="Compact"/>
            </w:pPr>
            <w:r>
              <w:rPr>
                <w:b/>
                <w:bCs/>
              </w:rPr>
              <w:t xml:space="preserve">MissForest</w:t>
            </w:r>
          </w:p>
        </w:tc>
        <w:tc>
          <w:tcPr/>
          <w:p>
            <w:pPr>
              <w:pStyle w:val="Compact"/>
            </w:pPr>
            <w:r>
              <w:rPr>
                <w:b/>
                <w:bCs/>
              </w:rPr>
              <w:t xml:space="preserve">0,734</w:t>
            </w:r>
          </w:p>
        </w:tc>
        <w:tc>
          <w:tcPr/>
          <w:p>
            <w:pPr>
              <w:pStyle w:val="Compact"/>
            </w:pPr>
            <w:r>
              <w:rPr>
                <w:b/>
                <w:bCs/>
              </w:rPr>
              <w:t xml:space="preserve">0,744</w:t>
            </w:r>
          </w:p>
        </w:tc>
        <w:tc>
          <w:tcPr/>
          <w:p>
            <w:pPr>
              <w:pStyle w:val="Compact"/>
            </w:pPr>
            <w:r>
              <w:rPr>
                <w:b/>
                <w:bCs/>
              </w:rPr>
              <w:t xml:space="preserve">0,452</w:t>
            </w:r>
          </w:p>
        </w:tc>
      </w:tr>
      <w:tr>
        <w:tc>
          <w:tcPr/>
          <w:p>
            <w:pPr>
              <w:pStyle w:val="Compact"/>
            </w:pPr>
            <w:r>
              <w:rPr>
                <w:b/>
                <w:bCs/>
              </w:rPr>
              <w:t xml:space="preserve">20 %</w:t>
            </w:r>
          </w:p>
        </w:tc>
        <w:tc>
          <w:tcPr/>
          <w:p>
            <w:pPr>
              <w:pStyle w:val="Compact"/>
            </w:pPr>
            <w:r>
              <w:t xml:space="preserve">Médiane/Mode</w:t>
            </w:r>
          </w:p>
        </w:tc>
        <w:tc>
          <w:tcPr/>
          <w:p>
            <w:pPr>
              <w:pStyle w:val="Compact"/>
            </w:pPr>
            <w:r>
              <w:t xml:space="preserve">0,506</w:t>
            </w:r>
          </w:p>
        </w:tc>
        <w:tc>
          <w:tcPr/>
          <w:p>
            <w:pPr>
              <w:pStyle w:val="Compact"/>
            </w:pPr>
            <w:r>
              <w:t xml:space="preserve">0,643</w:t>
            </w:r>
          </w:p>
        </w:tc>
        <w:tc>
          <w:tcPr/>
          <w:p>
            <w:pPr>
              <w:pStyle w:val="Compact"/>
            </w:pPr>
            <w:r>
              <w:t xml:space="preserve">0,000</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0,657</w:t>
            </w:r>
          </w:p>
        </w:tc>
        <w:tc>
          <w:tcPr/>
          <w:p>
            <w:pPr>
              <w:pStyle w:val="Compact"/>
            </w:pPr>
            <w:r>
              <w:t xml:space="preserve">0,672</w:t>
            </w:r>
          </w:p>
        </w:tc>
        <w:tc>
          <w:tcPr/>
          <w:p>
            <w:pPr>
              <w:pStyle w:val="Compact"/>
            </w:pPr>
            <w:r>
              <w:t xml:space="preserve">0,272</w:t>
            </w:r>
          </w:p>
        </w:tc>
      </w:tr>
      <w:tr>
        <w:tc>
          <w:tcPr/>
          <w:p>
            <w:pPr>
              <w:pStyle w:val="Compact"/>
            </w:pPr>
          </w:p>
        </w:tc>
        <w:tc>
          <w:tcPr/>
          <w:p>
            <w:pPr>
              <w:pStyle w:val="Compact"/>
            </w:pPr>
            <w:r>
              <w:t xml:space="preserve">MICE (BayesianRidge)</w:t>
            </w:r>
          </w:p>
        </w:tc>
        <w:tc>
          <w:tcPr/>
          <w:p>
            <w:pPr>
              <w:pStyle w:val="Compact"/>
            </w:pPr>
            <w:r>
              <w:t xml:space="preserve">0,636</w:t>
            </w:r>
          </w:p>
        </w:tc>
        <w:tc>
          <w:tcPr/>
          <w:p>
            <w:pPr>
              <w:pStyle w:val="Compact"/>
            </w:pPr>
            <w:r>
              <w:t xml:space="preserve">0,635</w:t>
            </w:r>
          </w:p>
        </w:tc>
        <w:tc>
          <w:tcPr/>
          <w:p>
            <w:pPr>
              <w:pStyle w:val="Compact"/>
            </w:pPr>
            <w:r>
              <w:t xml:space="preserve">0,230</w:t>
            </w:r>
          </w:p>
        </w:tc>
      </w:tr>
      <w:tr>
        <w:tc>
          <w:tcPr/>
          <w:p>
            <w:pPr>
              <w:pStyle w:val="Compact"/>
            </w:pPr>
          </w:p>
        </w:tc>
        <w:tc>
          <w:tcPr/>
          <w:p>
            <w:pPr>
              <w:pStyle w:val="Compact"/>
            </w:pPr>
            <w:r>
              <w:rPr>
                <w:b/>
                <w:bCs/>
              </w:rPr>
              <w:t xml:space="preserve">MissForest</w:t>
            </w:r>
          </w:p>
        </w:tc>
        <w:tc>
          <w:tcPr/>
          <w:p>
            <w:pPr>
              <w:pStyle w:val="Compact"/>
            </w:pPr>
            <w:r>
              <w:rPr>
                <w:b/>
                <w:bCs/>
              </w:rPr>
              <w:t xml:space="preserve">0,777</w:t>
            </w:r>
          </w:p>
        </w:tc>
        <w:tc>
          <w:tcPr/>
          <w:p>
            <w:pPr>
              <w:pStyle w:val="Compact"/>
            </w:pPr>
            <w:r>
              <w:rPr>
                <w:b/>
                <w:bCs/>
              </w:rPr>
              <w:t xml:space="preserve">0,791</w:t>
            </w:r>
          </w:p>
        </w:tc>
        <w:tc>
          <w:tcPr/>
          <w:p>
            <w:pPr>
              <w:pStyle w:val="Compact"/>
            </w:pPr>
            <w:r>
              <w:rPr>
                <w:b/>
                <w:bCs/>
              </w:rPr>
              <w:t xml:space="preserve">0,534</w:t>
            </w:r>
          </w:p>
        </w:tc>
      </w:tr>
      <w:tr>
        <w:tc>
          <w:tcPr/>
          <w:p>
            <w:pPr>
              <w:pStyle w:val="Compact"/>
            </w:pPr>
            <w:r>
              <w:rPr>
                <w:b/>
                <w:bCs/>
              </w:rPr>
              <w:t xml:space="preserve">40 %</w:t>
            </w:r>
          </w:p>
        </w:tc>
        <w:tc>
          <w:tcPr/>
          <w:p>
            <w:pPr>
              <w:pStyle w:val="Compact"/>
            </w:pPr>
            <w:r>
              <w:t xml:space="preserve">Médiane/Mode</w:t>
            </w:r>
          </w:p>
        </w:tc>
        <w:tc>
          <w:tcPr/>
          <w:p>
            <w:pPr>
              <w:pStyle w:val="Compact"/>
            </w:pPr>
            <w:r>
              <w:t xml:space="preserve">0,505</w:t>
            </w:r>
          </w:p>
        </w:tc>
        <w:tc>
          <w:tcPr/>
          <w:p>
            <w:pPr>
              <w:pStyle w:val="Compact"/>
            </w:pPr>
            <w:r>
              <w:t xml:space="preserve">0,644</w:t>
            </w:r>
          </w:p>
        </w:tc>
        <w:tc>
          <w:tcPr/>
          <w:p>
            <w:pPr>
              <w:pStyle w:val="Compact"/>
            </w:pPr>
            <w:r>
              <w:t xml:space="preserve">0,000</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0,612</w:t>
            </w:r>
          </w:p>
        </w:tc>
        <w:tc>
          <w:tcPr/>
          <w:p>
            <w:pPr>
              <w:pStyle w:val="Compact"/>
            </w:pPr>
            <w:r>
              <w:t xml:space="preserve">0,639</w:t>
            </w:r>
          </w:p>
        </w:tc>
        <w:tc>
          <w:tcPr/>
          <w:p>
            <w:pPr>
              <w:pStyle w:val="Compact"/>
            </w:pPr>
            <w:r>
              <w:t xml:space="preserve">0,157</w:t>
            </w:r>
          </w:p>
        </w:tc>
      </w:tr>
      <w:tr>
        <w:tc>
          <w:tcPr/>
          <w:p>
            <w:pPr>
              <w:pStyle w:val="Compact"/>
            </w:pPr>
          </w:p>
        </w:tc>
        <w:tc>
          <w:tcPr/>
          <w:p>
            <w:pPr>
              <w:pStyle w:val="Compact"/>
            </w:pPr>
            <w:r>
              <w:t xml:space="preserve">MICE (BayesianRidge)</w:t>
            </w:r>
          </w:p>
        </w:tc>
        <w:tc>
          <w:tcPr/>
          <w:p>
            <w:pPr>
              <w:pStyle w:val="Compact"/>
            </w:pPr>
            <w:r>
              <w:t xml:space="preserve">0,590</w:t>
            </w:r>
          </w:p>
        </w:tc>
        <w:tc>
          <w:tcPr/>
          <w:p>
            <w:pPr>
              <w:pStyle w:val="Compact"/>
            </w:pPr>
            <w:r>
              <w:t xml:space="preserve">0,585</w:t>
            </w:r>
          </w:p>
        </w:tc>
        <w:tc>
          <w:tcPr/>
          <w:p>
            <w:pPr>
              <w:pStyle w:val="Compact"/>
            </w:pPr>
            <w:r>
              <w:t xml:space="preserve">0,122</w:t>
            </w:r>
          </w:p>
        </w:tc>
      </w:tr>
      <w:tr>
        <w:tc>
          <w:tcPr/>
          <w:p>
            <w:pPr>
              <w:pStyle w:val="Compact"/>
            </w:pPr>
          </w:p>
        </w:tc>
        <w:tc>
          <w:tcPr/>
          <w:p>
            <w:pPr>
              <w:pStyle w:val="Compact"/>
            </w:pPr>
            <w:r>
              <w:rPr>
                <w:b/>
                <w:bCs/>
              </w:rPr>
              <w:t xml:space="preserve">MissForest</w:t>
            </w:r>
          </w:p>
        </w:tc>
        <w:tc>
          <w:tcPr/>
          <w:p>
            <w:pPr>
              <w:pStyle w:val="Compact"/>
            </w:pPr>
            <w:r>
              <w:rPr>
                <w:b/>
                <w:bCs/>
              </w:rPr>
              <w:t xml:space="preserve">0,740</w:t>
            </w:r>
          </w:p>
        </w:tc>
        <w:tc>
          <w:tcPr/>
          <w:p>
            <w:pPr>
              <w:pStyle w:val="Compact"/>
            </w:pPr>
            <w:r>
              <w:rPr>
                <w:b/>
                <w:bCs/>
              </w:rPr>
              <w:t xml:space="preserve">0,745</w:t>
            </w:r>
          </w:p>
        </w:tc>
        <w:tc>
          <w:tcPr/>
          <w:p>
            <w:pPr>
              <w:pStyle w:val="Compact"/>
            </w:pPr>
            <w:r>
              <w:rPr>
                <w:b/>
                <w:bCs/>
              </w:rPr>
              <w:t xml:space="preserve">0,438</w:t>
            </w:r>
          </w:p>
        </w:tc>
      </w:tr>
    </w:tbl>
    <w:p>
      <w:pPr>
        <w:pStyle w:val="BodyText"/>
      </w:pPr>
      <w:r>
        <w:rPr>
          <w:b/>
          <w:bCs/>
        </w:rPr>
        <w:t xml:space="preserve">Variables ordinales (</w:t>
      </w:r>
      <m:oMath>
        <m:r>
          <m:t>n</m:t>
        </m:r>
        <m:r>
          <m:rPr>
            <m:sty m:val="p"/>
          </m:rPr>
          <m:t>=</m:t>
        </m:r>
        <m:r>
          <m:t>2</m:t>
        </m:r>
      </m:oMath>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Taux</w:t>
            </w:r>
          </w:p>
        </w:tc>
        <w:tc>
          <w:tcPr/>
          <w:p>
            <w:pPr>
              <w:pStyle w:val="Compact"/>
            </w:pPr>
            <w:r>
              <w:t xml:space="preserve">Méthode</w:t>
            </w:r>
          </w:p>
        </w:tc>
        <w:tc>
          <w:tcPr/>
          <w:p>
            <w:pPr>
              <w:pStyle w:val="Compact"/>
            </w:pPr>
            <w:r>
              <w:t xml:space="preserve">F1</w:t>
            </w:r>
          </w:p>
        </w:tc>
        <w:tc>
          <w:tcPr/>
          <w:p>
            <w:pPr>
              <w:pStyle w:val="Compact"/>
            </w:pPr>
            <w:r>
              <w:t xml:space="preserve">Accuracy</w:t>
            </w:r>
          </w:p>
        </w:tc>
        <w:tc>
          <w:tcPr/>
          <w:p>
            <w:pPr>
              <w:pStyle w:val="Compact"/>
            </w:pPr>
            <m:oMath>
              <m:r>
                <m:t>κ</m:t>
              </m:r>
            </m:oMath>
            <w:r>
              <w:t xml:space="preserve">​</w:t>
            </w:r>
          </w:p>
        </w:tc>
      </w:tr>
      <w:tr>
        <w:tc>
          <w:tcPr/>
          <w:p>
            <w:pPr>
              <w:pStyle w:val="Compact"/>
            </w:pPr>
            <w:r>
              <w:rPr>
                <w:b/>
                <w:bCs/>
              </w:rPr>
              <w:t xml:space="preserve">10 %</w:t>
            </w:r>
          </w:p>
        </w:tc>
        <w:tc>
          <w:tcPr/>
          <w:p>
            <w:pPr>
              <w:pStyle w:val="Compact"/>
            </w:pPr>
            <w:r>
              <w:t xml:space="preserve">Médiane/Mode</w:t>
            </w:r>
          </w:p>
        </w:tc>
        <w:tc>
          <w:tcPr/>
          <w:p>
            <w:pPr>
              <w:pStyle w:val="Compact"/>
            </w:pPr>
            <w:r>
              <w:t xml:space="preserve">0,360</w:t>
            </w:r>
          </w:p>
        </w:tc>
        <w:tc>
          <w:tcPr/>
          <w:p>
            <w:pPr>
              <w:pStyle w:val="Compact"/>
            </w:pPr>
            <w:r>
              <w:t xml:space="preserve">0,521</w:t>
            </w:r>
          </w:p>
        </w:tc>
        <w:tc>
          <w:tcPr/>
          <w:p>
            <w:pPr>
              <w:pStyle w:val="Compact"/>
            </w:pPr>
            <w:r>
              <w:t xml:space="preserve">0,000</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0,401</w:t>
            </w:r>
          </w:p>
        </w:tc>
        <w:tc>
          <w:tcPr/>
          <w:p>
            <w:pPr>
              <w:pStyle w:val="Compact"/>
            </w:pPr>
            <w:r>
              <w:t xml:space="preserve">0,355</w:t>
            </w:r>
          </w:p>
        </w:tc>
        <w:tc>
          <w:tcPr/>
          <w:p>
            <w:pPr>
              <w:pStyle w:val="Compact"/>
            </w:pPr>
            <w:r>
              <w:t xml:space="preserve">0,170</w:t>
            </w:r>
          </w:p>
        </w:tc>
      </w:tr>
      <w:tr>
        <w:tc>
          <w:tcPr/>
          <w:p>
            <w:pPr>
              <w:pStyle w:val="Compact"/>
            </w:pPr>
          </w:p>
        </w:tc>
        <w:tc>
          <w:tcPr/>
          <w:p>
            <w:pPr>
              <w:pStyle w:val="Compact"/>
            </w:pPr>
            <w:r>
              <w:t xml:space="preserve">MICE (BayesianRidge)</w:t>
            </w:r>
          </w:p>
        </w:tc>
        <w:tc>
          <w:tcPr/>
          <w:p>
            <w:pPr>
              <w:pStyle w:val="Compact"/>
            </w:pPr>
            <w:r>
              <w:t xml:space="preserve">0,441</w:t>
            </w:r>
          </w:p>
        </w:tc>
        <w:tc>
          <w:tcPr/>
          <w:p>
            <w:pPr>
              <w:pStyle w:val="Compact"/>
            </w:pPr>
            <w:r>
              <w:t xml:space="preserve">0,380</w:t>
            </w:r>
          </w:p>
        </w:tc>
        <w:tc>
          <w:tcPr/>
          <w:p>
            <w:pPr>
              <w:pStyle w:val="Compact"/>
            </w:pPr>
            <w:r>
              <w:t xml:space="preserve">0,148</w:t>
            </w:r>
          </w:p>
        </w:tc>
      </w:tr>
      <w:tr>
        <w:tc>
          <w:tcPr/>
          <w:p>
            <w:pPr>
              <w:pStyle w:val="Compact"/>
            </w:pPr>
          </w:p>
        </w:tc>
        <w:tc>
          <w:tcPr/>
          <w:p>
            <w:pPr>
              <w:pStyle w:val="Compact"/>
            </w:pPr>
            <w:r>
              <w:rPr>
                <w:b/>
                <w:bCs/>
              </w:rPr>
              <w:t xml:space="preserve">MissForest</w:t>
            </w:r>
          </w:p>
        </w:tc>
        <w:tc>
          <w:tcPr/>
          <w:p>
            <w:pPr>
              <w:pStyle w:val="Compact"/>
            </w:pPr>
            <w:r>
              <w:rPr>
                <w:b/>
                <w:bCs/>
              </w:rPr>
              <w:t xml:space="preserve">0,865</w:t>
            </w:r>
          </w:p>
        </w:tc>
        <w:tc>
          <w:tcPr/>
          <w:p>
            <w:pPr>
              <w:pStyle w:val="Compact"/>
            </w:pPr>
            <w:r>
              <w:rPr>
                <w:b/>
                <w:bCs/>
              </w:rPr>
              <w:t xml:space="preserve">0,846</w:t>
            </w:r>
          </w:p>
        </w:tc>
        <w:tc>
          <w:tcPr/>
          <w:p>
            <w:pPr>
              <w:pStyle w:val="Compact"/>
            </w:pPr>
            <w:r>
              <w:rPr>
                <w:b/>
                <w:bCs/>
              </w:rPr>
              <w:t xml:space="preserve">0,771</w:t>
            </w:r>
          </w:p>
        </w:tc>
      </w:tr>
      <w:tr>
        <w:tc>
          <w:tcPr/>
          <w:p>
            <w:pPr>
              <w:pStyle w:val="Compact"/>
            </w:pPr>
            <w:r>
              <w:rPr>
                <w:b/>
                <w:bCs/>
              </w:rPr>
              <w:t xml:space="preserve">20 %</w:t>
            </w:r>
          </w:p>
        </w:tc>
        <w:tc>
          <w:tcPr/>
          <w:p>
            <w:pPr>
              <w:pStyle w:val="Compact"/>
            </w:pPr>
            <w:r>
              <w:t xml:space="preserve">Médiane/Mode</w:t>
            </w:r>
          </w:p>
        </w:tc>
        <w:tc>
          <w:tcPr/>
          <w:p>
            <w:pPr>
              <w:pStyle w:val="Compact"/>
            </w:pPr>
            <w:r>
              <w:t xml:space="preserve">0,397</w:t>
            </w:r>
          </w:p>
        </w:tc>
        <w:tc>
          <w:tcPr/>
          <w:p>
            <w:pPr>
              <w:pStyle w:val="Compact"/>
            </w:pPr>
            <w:r>
              <w:t xml:space="preserve">0,555</w:t>
            </w:r>
          </w:p>
        </w:tc>
        <w:tc>
          <w:tcPr/>
          <w:p>
            <w:pPr>
              <w:pStyle w:val="Compact"/>
            </w:pPr>
            <w:r>
              <w:t xml:space="preserve">0,000</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0,363</w:t>
            </w:r>
          </w:p>
        </w:tc>
        <w:tc>
          <w:tcPr/>
          <w:p>
            <w:pPr>
              <w:pStyle w:val="Compact"/>
            </w:pPr>
            <w:r>
              <w:t xml:space="preserve">0,317</w:t>
            </w:r>
          </w:p>
        </w:tc>
        <w:tc>
          <w:tcPr/>
          <w:p>
            <w:pPr>
              <w:pStyle w:val="Compact"/>
            </w:pPr>
            <w:r>
              <w:t xml:space="preserve">0,127</w:t>
            </w:r>
          </w:p>
        </w:tc>
      </w:tr>
      <w:tr>
        <w:tc>
          <w:tcPr/>
          <w:p>
            <w:pPr>
              <w:pStyle w:val="Compact"/>
            </w:pPr>
          </w:p>
        </w:tc>
        <w:tc>
          <w:tcPr/>
          <w:p>
            <w:pPr>
              <w:pStyle w:val="Compact"/>
            </w:pPr>
            <w:r>
              <w:t xml:space="preserve">MICE (BayesianRidge)</w:t>
            </w:r>
          </w:p>
        </w:tc>
        <w:tc>
          <w:tcPr/>
          <w:p>
            <w:pPr>
              <w:pStyle w:val="Compact"/>
            </w:pPr>
            <w:r>
              <w:t xml:space="preserve">0,453</w:t>
            </w:r>
          </w:p>
        </w:tc>
        <w:tc>
          <w:tcPr/>
          <w:p>
            <w:pPr>
              <w:pStyle w:val="Compact"/>
            </w:pPr>
            <w:r>
              <w:t xml:space="preserve">0,392</w:t>
            </w:r>
          </w:p>
        </w:tc>
        <w:tc>
          <w:tcPr/>
          <w:p>
            <w:pPr>
              <w:pStyle w:val="Compact"/>
            </w:pPr>
            <w:r>
              <w:t xml:space="preserve">0,145</w:t>
            </w:r>
          </w:p>
        </w:tc>
      </w:tr>
      <w:tr>
        <w:tc>
          <w:tcPr/>
          <w:p>
            <w:pPr>
              <w:pStyle w:val="Compact"/>
            </w:pPr>
          </w:p>
        </w:tc>
        <w:tc>
          <w:tcPr/>
          <w:p>
            <w:pPr>
              <w:pStyle w:val="Compact"/>
            </w:pPr>
            <w:r>
              <w:rPr>
                <w:b/>
                <w:bCs/>
              </w:rPr>
              <w:t xml:space="preserve">MissForest</w:t>
            </w:r>
          </w:p>
        </w:tc>
        <w:tc>
          <w:tcPr/>
          <w:p>
            <w:pPr>
              <w:pStyle w:val="Compact"/>
            </w:pPr>
            <w:r>
              <w:rPr>
                <w:b/>
                <w:bCs/>
              </w:rPr>
              <w:t xml:space="preserve">0,842</w:t>
            </w:r>
          </w:p>
        </w:tc>
        <w:tc>
          <w:tcPr/>
          <w:p>
            <w:pPr>
              <w:pStyle w:val="Compact"/>
            </w:pPr>
            <w:r>
              <w:rPr>
                <w:b/>
                <w:bCs/>
              </w:rPr>
              <w:t xml:space="preserve">0,819</w:t>
            </w:r>
          </w:p>
        </w:tc>
        <w:tc>
          <w:tcPr/>
          <w:p>
            <w:pPr>
              <w:pStyle w:val="Compact"/>
            </w:pPr>
            <w:r>
              <w:rPr>
                <w:b/>
                <w:bCs/>
              </w:rPr>
              <w:t xml:space="preserve">0,731</w:t>
            </w:r>
          </w:p>
        </w:tc>
      </w:tr>
      <w:tr>
        <w:tc>
          <w:tcPr/>
          <w:p>
            <w:pPr>
              <w:pStyle w:val="Compact"/>
            </w:pPr>
            <w:r>
              <w:rPr>
                <w:b/>
                <w:bCs/>
              </w:rPr>
              <w:t xml:space="preserve">40 %</w:t>
            </w:r>
          </w:p>
        </w:tc>
        <w:tc>
          <w:tcPr/>
          <w:p>
            <w:pPr>
              <w:pStyle w:val="Compact"/>
            </w:pPr>
            <w:r>
              <w:t xml:space="preserve">Médiane/Mode</w:t>
            </w:r>
          </w:p>
        </w:tc>
        <w:tc>
          <w:tcPr/>
          <w:p>
            <w:pPr>
              <w:pStyle w:val="Compact"/>
            </w:pPr>
            <w:r>
              <w:t xml:space="preserve">0,394</w:t>
            </w:r>
          </w:p>
        </w:tc>
        <w:tc>
          <w:tcPr/>
          <w:p>
            <w:pPr>
              <w:pStyle w:val="Compact"/>
            </w:pPr>
            <w:r>
              <w:t xml:space="preserve">0,551</w:t>
            </w:r>
          </w:p>
        </w:tc>
        <w:tc>
          <w:tcPr/>
          <w:p>
            <w:pPr>
              <w:pStyle w:val="Compact"/>
            </w:pPr>
            <w:r>
              <w:t xml:space="preserve">0,000</w:t>
            </w:r>
          </w:p>
        </w:tc>
      </w:tr>
      <w:tr>
        <w:tc>
          <w:tcPr/>
          <w:p>
            <w:pPr>
              <w:pStyle w:val="Compact"/>
            </w:pPr>
          </w:p>
        </w:tc>
        <w:tc>
          <w:tcPr/>
          <w:p>
            <w:pPr>
              <w:pStyle w:val="Compact"/>
            </w:pPr>
            <w:r>
              <w:t xml:space="preserve">KNN (</w:t>
            </w:r>
            <m:oMath>
              <m:r>
                <m:t>k</m:t>
              </m:r>
              <m:r>
                <m:rPr>
                  <m:sty m:val="p"/>
                </m:rPr>
                <m:t>=</m:t>
              </m:r>
              <m:r>
                <m:t>5</m:t>
              </m:r>
            </m:oMath>
            <w:r>
              <w:t xml:space="preserve">)</w:t>
            </w:r>
          </w:p>
        </w:tc>
        <w:tc>
          <w:tcPr/>
          <w:p>
            <w:pPr>
              <w:pStyle w:val="Compact"/>
            </w:pPr>
            <w:r>
              <w:t xml:space="preserve">0,243</w:t>
            </w:r>
          </w:p>
        </w:tc>
        <w:tc>
          <w:tcPr/>
          <w:p>
            <w:pPr>
              <w:pStyle w:val="Compact"/>
            </w:pPr>
            <w:r>
              <w:t xml:space="preserve">0,222</w:t>
            </w:r>
          </w:p>
        </w:tc>
        <w:tc>
          <w:tcPr/>
          <w:p>
            <w:pPr>
              <w:pStyle w:val="Compact"/>
            </w:pPr>
            <w:r>
              <w:t xml:space="preserve">0,064</w:t>
            </w:r>
          </w:p>
        </w:tc>
      </w:tr>
      <w:tr>
        <w:tc>
          <w:tcPr/>
          <w:p>
            <w:pPr>
              <w:pStyle w:val="Compact"/>
            </w:pPr>
          </w:p>
        </w:tc>
        <w:tc>
          <w:tcPr/>
          <w:p>
            <w:pPr>
              <w:pStyle w:val="Compact"/>
            </w:pPr>
            <w:r>
              <w:t xml:space="preserve">MICE (BayesianRidge)</w:t>
            </w:r>
          </w:p>
        </w:tc>
        <w:tc>
          <w:tcPr/>
          <w:p>
            <w:pPr>
              <w:pStyle w:val="Compact"/>
            </w:pPr>
            <w:r>
              <w:t xml:space="preserve">0,364</w:t>
            </w:r>
          </w:p>
        </w:tc>
        <w:tc>
          <w:tcPr/>
          <w:p>
            <w:pPr>
              <w:pStyle w:val="Compact"/>
            </w:pPr>
            <w:r>
              <w:t xml:space="preserve">0,314</w:t>
            </w:r>
          </w:p>
        </w:tc>
        <w:tc>
          <w:tcPr/>
          <w:p>
            <w:pPr>
              <w:pStyle w:val="Compact"/>
            </w:pPr>
            <w:r>
              <w:t xml:space="preserve">0,028</w:t>
            </w:r>
          </w:p>
        </w:tc>
      </w:tr>
      <w:tr>
        <w:tc>
          <w:tcPr/>
          <w:p>
            <w:pPr>
              <w:pStyle w:val="Compact"/>
            </w:pPr>
          </w:p>
        </w:tc>
        <w:tc>
          <w:tcPr/>
          <w:p>
            <w:pPr>
              <w:pStyle w:val="Compact"/>
            </w:pPr>
            <w:r>
              <w:rPr>
                <w:b/>
                <w:bCs/>
              </w:rPr>
              <w:t xml:space="preserve">MissForest</w:t>
            </w:r>
          </w:p>
        </w:tc>
        <w:tc>
          <w:tcPr/>
          <w:p>
            <w:pPr>
              <w:pStyle w:val="Compact"/>
            </w:pPr>
            <w:r>
              <w:rPr>
                <w:b/>
                <w:bCs/>
              </w:rPr>
              <w:t xml:space="preserve">0,798</w:t>
            </w:r>
          </w:p>
        </w:tc>
        <w:tc>
          <w:tcPr/>
          <w:p>
            <w:pPr>
              <w:pStyle w:val="Compact"/>
            </w:pPr>
            <w:r>
              <w:rPr>
                <w:b/>
                <w:bCs/>
              </w:rPr>
              <w:t xml:space="preserve">0,778</w:t>
            </w:r>
          </w:p>
        </w:tc>
        <w:tc>
          <w:tcPr/>
          <w:p>
            <w:pPr>
              <w:pStyle w:val="Compact"/>
            </w:pPr>
            <w:r>
              <w:rPr>
                <w:b/>
                <w:bCs/>
              </w:rPr>
              <w:t xml:space="preserve">0,655</w:t>
            </w:r>
          </w:p>
        </w:tc>
      </w:tr>
    </w:tbl>
    <w:bookmarkEnd w:id="30"/>
    <w:bookmarkStart w:id="31" w:name="constats-principaux"/>
    <w:p>
      <w:pPr>
        <w:pStyle w:val="Heading3"/>
      </w:pPr>
      <w:r>
        <w:t xml:space="preserve">Constats principaux</w:t>
      </w:r>
    </w:p>
    <w:p>
      <w:pPr>
        <w:numPr>
          <w:ilvl w:val="0"/>
          <w:numId w:val="1003"/>
        </w:numPr>
      </w:pPr>
      <w:r>
        <w:rPr>
          <w:b/>
          <w:bCs/>
        </w:rPr>
        <w:t xml:space="preserve">MissForest domine systématiquement et significativement</w:t>
      </w:r>
      <w:r>
        <w:t xml:space="preserve"> </w:t>
      </w:r>
      <w:r>
        <w:t xml:space="preserve">toutes les autres méthodes sur l’ensemble des métriques et des types de variables. L’écart est particulièrement marqué pour les variables ordinales (</w:t>
      </w:r>
      <m:oMath>
        <m:r>
          <m:t>κ</m:t>
        </m:r>
        <m:r>
          <m:rPr>
            <m:sty m:val="p"/>
          </m:rPr>
          <m:t>=</m:t>
        </m:r>
        <m:r>
          <m:t>0</m:t>
        </m:r>
        <m:r>
          <m:rPr>
            <m:sty m:val="p"/>
          </m:rPr>
          <m:t>,</m:t>
        </m:r>
        <m:r>
          <m:t>771</m:t>
        </m:r>
      </m:oMath>
      <w:r>
        <w:t xml:space="preserve"> </w:t>
      </w:r>
      <w:r>
        <w:t xml:space="preserve">pour MissForest vs</w:t>
      </w:r>
      <w:r>
        <w:t xml:space="preserve"> </w:t>
      </w:r>
      <m:oMath>
        <m:r>
          <m:t>κ</m:t>
        </m:r>
        <m:r>
          <m:rPr>
            <m:sty m:val="p"/>
          </m:rPr>
          <m:t>=</m:t>
        </m:r>
        <m:r>
          <m:t>0</m:t>
        </m:r>
        <m:r>
          <m:rPr>
            <m:sty m:val="p"/>
          </m:rPr>
          <m:t>,</m:t>
        </m:r>
        <m:r>
          <m:t>000</m:t>
        </m:r>
      </m:oMath>
      <w:r>
        <w:t xml:space="preserve"> </w:t>
      </w:r>
      <w:r>
        <w:t xml:space="preserve">pour Médiane/Mode à 10 %).</w:t>
      </w:r>
    </w:p>
    <w:p>
      <w:pPr>
        <w:numPr>
          <w:ilvl w:val="0"/>
          <w:numId w:val="1003"/>
        </w:numPr>
      </w:pPr>
      <w:r>
        <w:rPr>
          <w:b/>
          <w:bCs/>
        </w:rPr>
        <w:t xml:space="preserve">La dégradation avec le taux de perte est modérée pour MissForest</w:t>
      </w:r>
      <w:r>
        <w:t xml:space="preserve"> </w:t>
      </w:r>
      <w:r>
        <w:t xml:space="preserve">: le RMSE passe de 26,27 (10 %) à 39,92 (40 %), soit une augmentation de 52 %, contre une augmentation de 6,3 % seulement pour la Médiane/Mode — mais cette apparente stabilité de la Médiane/Mode masque une distorsion distributionnelle massive (89,7 % des variables avec KS significatif à 40 %).</w:t>
      </w:r>
    </w:p>
    <w:p>
      <w:pPr>
        <w:numPr>
          <w:ilvl w:val="0"/>
          <w:numId w:val="1003"/>
        </w:numPr>
      </w:pPr>
      <w:r>
        <w:rPr>
          <w:b/>
          <w:bCs/>
        </w:rPr>
        <w:t xml:space="preserve">MICE (BayesianRidge) est la méthode la moins performante sur les variables continues</w:t>
      </w:r>
      <w:r>
        <w:t xml:space="preserve"> </w:t>
      </w:r>
      <w:r>
        <w:t xml:space="preserve">(RMSE = 74,55 à 40 %), victime de la violation de l’hypothèse de normalité par 88 % des variables.</w:t>
      </w:r>
    </w:p>
    <w:p>
      <w:pPr>
        <w:numPr>
          <w:ilvl w:val="0"/>
          <w:numId w:val="1003"/>
        </w:numPr>
      </w:pPr>
      <w:r>
        <w:rPr>
          <w:b/>
          <w:bCs/>
        </w:rPr>
        <w:t xml:space="preserve">KNN s’effondre sur les variables ordinales à fort taux de perte</w:t>
      </w:r>
      <w:r>
        <w:t xml:space="preserve"> </w:t>
      </w:r>
      <w:r>
        <w:t xml:space="preserve">(F1 = 0,243 à 40 %), pénalisé par la malédiction de la dimension et l’absence de mécanisme d’arrondi adapté.</w:t>
      </w:r>
    </w:p>
    <w:bookmarkEnd w:id="31"/>
    <w:bookmarkEnd w:id="32"/>
    <w:bookmarkStart w:id="34" w:name="X506c56c698b37c52ea559e3fafe1c4fa3381caf"/>
    <w:p>
      <w:pPr>
        <w:pStyle w:val="Heading2"/>
      </w:pPr>
      <w:r>
        <w:t xml:space="preserve">2.2 Effet du mécanisme de manquance (MCAR vs MAR)</w:t>
      </w:r>
    </w:p>
    <w:bookmarkStart w:id="33" w:name="X21584c73d62fb953649455f7f26ca7b3b854183"/>
    <w:p>
      <w:pPr>
        <w:pStyle w:val="Heading3"/>
      </w:pPr>
      <w:r>
        <w:t xml:space="preserve">Tableau 2 — Impact du mécanisme sur les performances (MissForest, 40 %)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Mécanisme</w:t>
            </w:r>
          </w:p>
        </w:tc>
        <w:tc>
          <w:tcPr/>
          <w:p>
            <w:pPr>
              <w:pStyle w:val="Compact"/>
            </w:pPr>
            <w:r>
              <w:t xml:space="preserve">RMSE (Continu)</w:t>
            </w:r>
          </w:p>
        </w:tc>
        <w:tc>
          <w:tcPr/>
          <w:p>
            <w:pPr>
              <w:pStyle w:val="Compact"/>
            </w:pPr>
            <w:r>
              <w:t xml:space="preserve">F1 (Binaire)</w:t>
            </w:r>
          </w:p>
        </w:tc>
        <w:tc>
          <w:tcPr/>
          <w:p>
            <w:pPr>
              <w:pStyle w:val="Compact"/>
            </w:pPr>
            <w:r>
              <w:t xml:space="preserve">F1 (Ordinal)</w:t>
            </w:r>
          </w:p>
        </w:tc>
        <w:tc>
          <w:tcPr/>
          <w:p>
            <w:pPr>
              <w:pStyle w:val="Compact"/>
            </w:pPr>
            <m:oMath>
              <m:sSub>
                <m:e>
                  <m:r>
                    <m:t>R</m:t>
                  </m:r>
                </m:e>
                <m:sub>
                  <m:r>
                    <m:t>V</m:t>
                  </m:r>
                </m:sub>
              </m:sSub>
            </m:oMath>
            <w:r>
              <w:t xml:space="preserve">​</w:t>
            </w:r>
          </w:p>
        </w:tc>
      </w:tr>
      <w:tr>
        <w:tc>
          <w:tcPr/>
          <w:p>
            <w:pPr>
              <w:pStyle w:val="Compact"/>
            </w:pPr>
            <w:r>
              <w:t xml:space="preserve">MCAR</w:t>
            </w:r>
          </w:p>
        </w:tc>
        <w:tc>
          <w:tcPr/>
          <w:p>
            <w:pPr>
              <w:pStyle w:val="Compact"/>
            </w:pPr>
            <w:r>
              <w:rPr>
                <w:b/>
                <w:bCs/>
              </w:rPr>
              <w:t xml:space="preserve">39,92</w:t>
            </w:r>
          </w:p>
        </w:tc>
        <w:tc>
          <w:tcPr/>
          <w:p>
            <w:pPr>
              <w:pStyle w:val="Compact"/>
            </w:pPr>
            <w:r>
              <w:rPr>
                <w:b/>
                <w:bCs/>
              </w:rPr>
              <w:t xml:space="preserve">0,740</w:t>
            </w:r>
          </w:p>
        </w:tc>
        <w:tc>
          <w:tcPr/>
          <w:p>
            <w:pPr>
              <w:pStyle w:val="Compact"/>
            </w:pPr>
            <w:r>
              <w:rPr>
                <w:b/>
                <w:bCs/>
              </w:rPr>
              <w:t xml:space="preserve">0,798</w:t>
            </w:r>
          </w:p>
        </w:tc>
        <w:tc>
          <w:tcPr/>
          <w:p>
            <w:pPr>
              <w:pStyle w:val="Compact"/>
            </w:pPr>
            <w:r>
              <w:rPr>
                <w:b/>
                <w:bCs/>
              </w:rPr>
              <w:t xml:space="preserve">0,824</w:t>
            </w:r>
          </w:p>
        </w:tc>
      </w:tr>
      <w:tr>
        <w:tc>
          <w:tcPr/>
          <w:p>
            <w:pPr>
              <w:pStyle w:val="Compact"/>
            </w:pPr>
            <w:r>
              <w:t xml:space="preserve">MAR</w:t>
            </w:r>
          </w:p>
        </w:tc>
        <w:tc>
          <w:tcPr/>
          <w:p>
            <w:pPr>
              <w:pStyle w:val="Compact"/>
            </w:pPr>
            <w:r>
              <w:t xml:space="preserve">63,44</w:t>
            </w:r>
          </w:p>
        </w:tc>
        <w:tc>
          <w:tcPr/>
          <w:p>
            <w:pPr>
              <w:pStyle w:val="Compact"/>
            </w:pPr>
            <w:r>
              <w:t xml:space="preserve">0,701</w:t>
            </w:r>
          </w:p>
        </w:tc>
        <w:tc>
          <w:tcPr/>
          <w:p>
            <w:pPr>
              <w:pStyle w:val="Compact"/>
            </w:pPr>
            <w:r>
              <w:t xml:space="preserve">0,715</w:t>
            </w:r>
          </w:p>
        </w:tc>
        <w:tc>
          <w:tcPr/>
          <w:p>
            <w:pPr>
              <w:pStyle w:val="Compact"/>
            </w:pPr>
            <w:r>
              <w:t xml:space="preserve">0,880</w:t>
            </w:r>
          </w:p>
        </w:tc>
      </w:tr>
    </w:tbl>
    <w:p>
      <w:pPr>
        <w:pStyle w:val="BodyText"/>
      </w:pPr>
      <w:r>
        <w:t xml:space="preserve">Le passage de MCAR à MAR dégrade significativement les performances de MissForest : +58,9 % de RMSE, −5,3 % de F1 binaire, −10,4 % de F1 ordinal. Ce résultat est attendu : sous MAR, la probabilité de manquance étant corrélée aux autres variables, l’information disponible pour l’imputation est structurellement appauvrie par rapport au MCAR où les données observées constituent un échantillon aléatoire simple.</w:t>
      </w:r>
    </w:p>
    <w:p>
      <w:pPr>
        <w:pStyle w:val="BodyText"/>
      </w:pPr>
      <w:r>
        <w:t xml:space="preserve">Notablement, au taux extrême de</w:t>
      </w:r>
      <w:r>
        <w:t xml:space="preserve"> </w:t>
      </w:r>
      <w:r>
        <w:rPr>
          <w:b/>
          <w:bCs/>
        </w:rPr>
        <w:t xml:space="preserve">MAR 40 %</w:t>
      </w:r>
      <w:r>
        <w:t xml:space="preserve">, la</w:t>
      </w:r>
      <w:r>
        <w:t xml:space="preserve"> </w:t>
      </w:r>
      <w:r>
        <w:rPr>
          <w:b/>
          <w:bCs/>
        </w:rPr>
        <w:t xml:space="preserve">Médiane/Mode</w:t>
      </w:r>
      <w:r>
        <w:t xml:space="preserve"> </w:t>
      </w:r>
      <w:r>
        <w:t xml:space="preserve">(RMSE = 59,07) surpasse MissForest (RMSE = 63,44) pour les variables continues. Ce phénomène illustre un</w:t>
      </w:r>
      <w:r>
        <w:t xml:space="preserve"> </w:t>
      </w:r>
      <w:r>
        <w:rPr>
          <w:b/>
          <w:bCs/>
        </w:rPr>
        <w:t xml:space="preserve">seuil critique</w:t>
      </w:r>
      <w:r>
        <w:t xml:space="preserve"> </w:t>
      </w:r>
      <w:r>
        <w:t xml:space="preserve">: lorsque les dépendances inter-variables sont trop sévèrement dégradées par un MAR à fort taux, les méthodes multivariées sophistiquées peuvent incorporer du bruit dans leurs prédictions, rendant l’estimateur naïf (médiane) paradoxalement plus robuste. Ce résultat est cohérent avec la littérature sur le surapprentissage en haute dimension avec données manquantes (Josse et al., 2019).</w:t>
      </w:r>
    </w:p>
    <w:bookmarkEnd w:id="33"/>
    <w:bookmarkEnd w:id="34"/>
    <w:bookmarkStart w:id="35" w:name="X61b72b5ad95d6f37d946f59d06d12cb1bfd663c"/>
    <w:p>
      <w:pPr>
        <w:pStyle w:val="Heading2"/>
      </w:pPr>
      <w:r>
        <w:t xml:space="preserve">2.3 Comparaison statistique formelle (Friedman)</w:t>
      </w:r>
    </w:p>
    <w:p>
      <w:pPr>
        <w:pStyle w:val="FirstParagraph"/>
      </w:pPr>
      <w:r>
        <w:t xml:space="preserve">Le test de Friedman rejette l’hypothèse nulle d’équivalence des méthodes dans tous les scénarios testés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Scénario</w:t>
            </w:r>
          </w:p>
        </w:tc>
        <w:tc>
          <w:tcPr/>
          <w:p>
            <w:pPr>
              <w:pStyle w:val="Compact"/>
            </w:pPr>
            <m:oMath>
              <m:sSup>
                <m:e>
                  <m:r>
                    <m:t>χ</m:t>
                  </m:r>
                </m:e>
                <m:sup>
                  <m:r>
                    <m:t>2</m:t>
                  </m:r>
                </m:sup>
              </m:sSup>
            </m:oMath>
            <w:r>
              <w:t xml:space="preserve"> </w:t>
            </w:r>
            <w:r>
              <w:t xml:space="preserve">de Friedman</w:t>
            </w:r>
          </w:p>
        </w:tc>
        <w:tc>
          <w:tcPr/>
          <w:p>
            <w:pPr>
              <w:pStyle w:val="Compact"/>
            </w:pPr>
            <m:oMath>
              <m:r>
                <m:t>p</m:t>
              </m:r>
            </m:oMath>
            <w:r>
              <w:t xml:space="preserve">​</w:t>
            </w:r>
          </w:p>
        </w:tc>
      </w:tr>
      <w:tr>
        <w:tc>
          <w:tcPr/>
          <w:p>
            <w:pPr>
              <w:pStyle w:val="Compact"/>
            </w:pPr>
            <w:r>
              <w:t xml:space="preserve">MCAR 10 %</w:t>
            </w:r>
          </w:p>
        </w:tc>
        <w:tc>
          <w:tcPr/>
          <w:p>
            <w:pPr>
              <w:pStyle w:val="Compact"/>
            </w:pPr>
            <w:r>
              <w:t xml:space="preserve">28,16</w:t>
            </w:r>
          </w:p>
        </w:tc>
        <w:tc>
          <w:tcPr/>
          <w:p>
            <w:pPr>
              <w:pStyle w:val="Compact"/>
            </w:pPr>
            <m:oMath>
              <m:r>
                <m:t>3</m:t>
              </m:r>
              <m:r>
                <m:rPr>
                  <m:sty m:val="p"/>
                </m:rPr>
                <m:t>×</m:t>
              </m:r>
              <m:sSup>
                <m:e>
                  <m:r>
                    <m:t>10</m:t>
                  </m:r>
                </m:e>
                <m:sup>
                  <m:r>
                    <m:rPr>
                      <m:sty m:val="p"/>
                    </m:rPr>
                    <m:t>−</m:t>
                  </m:r>
                  <m:r>
                    <m:t>6</m:t>
                  </m:r>
                </m:sup>
              </m:sSup>
            </m:oMath>
            <w:r>
              <w:t xml:space="preserve">​</w:t>
            </w:r>
          </w:p>
        </w:tc>
      </w:tr>
      <w:tr>
        <w:tc>
          <w:tcPr/>
          <w:p>
            <w:pPr>
              <w:pStyle w:val="Compact"/>
            </w:pPr>
            <w:r>
              <w:t xml:space="preserve">MCAR 20 %</w:t>
            </w:r>
          </w:p>
        </w:tc>
        <w:tc>
          <w:tcPr/>
          <w:p>
            <w:pPr>
              <w:pStyle w:val="Compact"/>
            </w:pPr>
            <w:r>
              <w:t xml:space="preserve">28,53</w:t>
            </w:r>
          </w:p>
        </w:tc>
        <w:tc>
          <w:tcPr/>
          <w:p>
            <w:pPr>
              <w:pStyle w:val="Compact"/>
            </w:pPr>
            <m:oMath>
              <m:r>
                <m:t>3</m:t>
              </m:r>
              <m:r>
                <m:rPr>
                  <m:sty m:val="p"/>
                </m:rPr>
                <m:t>×</m:t>
              </m:r>
              <m:sSup>
                <m:e>
                  <m:r>
                    <m:t>10</m:t>
                  </m:r>
                </m:e>
                <m:sup>
                  <m:r>
                    <m:rPr>
                      <m:sty m:val="p"/>
                    </m:rPr>
                    <m:t>−</m:t>
                  </m:r>
                  <m:r>
                    <m:t>6</m:t>
                  </m:r>
                </m:sup>
              </m:sSup>
            </m:oMath>
            <w:r>
              <w:t xml:space="preserve">​</w:t>
            </w:r>
          </w:p>
        </w:tc>
      </w:tr>
      <w:tr>
        <w:tc>
          <w:tcPr/>
          <w:p>
            <w:pPr>
              <w:pStyle w:val="Compact"/>
            </w:pPr>
            <w:r>
              <w:t xml:space="preserve">MCAR 40 %</w:t>
            </w:r>
          </w:p>
        </w:tc>
        <w:tc>
          <w:tcPr/>
          <w:p>
            <w:pPr>
              <w:pStyle w:val="Compact"/>
            </w:pPr>
            <w:r>
              <w:t xml:space="preserve">50,26</w:t>
            </w:r>
          </w:p>
        </w:tc>
        <w:tc>
          <w:tcPr/>
          <w:p>
            <w:pPr>
              <w:pStyle w:val="Compact"/>
            </w:pPr>
            <m:oMath>
              <m:r>
                <m:rPr>
                  <m:sty m:val="p"/>
                </m:rPr>
                <m:t>&lt;</m:t>
              </m:r>
              <m:sSup>
                <m:e>
                  <m:r>
                    <m:t>10</m:t>
                  </m:r>
                </m:e>
                <m:sup>
                  <m:r>
                    <m:rPr>
                      <m:sty m:val="p"/>
                    </m:rPr>
                    <m:t>−</m:t>
                  </m:r>
                  <m:r>
                    <m:t>7</m:t>
                  </m:r>
                </m:sup>
              </m:sSup>
            </m:oMath>
            <w:r>
              <w:t xml:space="preserve">​</w:t>
            </w:r>
          </w:p>
        </w:tc>
      </w:tr>
      <w:tr>
        <w:tc>
          <w:tcPr/>
          <w:p>
            <w:pPr>
              <w:pStyle w:val="Compact"/>
            </w:pPr>
            <w:r>
              <w:t xml:space="preserve">MAR 10 %</w:t>
            </w:r>
          </w:p>
        </w:tc>
        <w:tc>
          <w:tcPr/>
          <w:p>
            <w:pPr>
              <w:pStyle w:val="Compact"/>
            </w:pPr>
            <w:r>
              <w:t xml:space="preserve">24,19</w:t>
            </w:r>
          </w:p>
        </w:tc>
        <w:tc>
          <w:tcPr/>
          <w:p>
            <w:pPr>
              <w:pStyle w:val="Compact"/>
            </w:pPr>
            <m:oMath>
              <m:r>
                <m:t>2</m:t>
              </m:r>
              <m:r>
                <m:rPr>
                  <m:sty m:val="p"/>
                </m:rPr>
                <m:t>×</m:t>
              </m:r>
              <m:sSup>
                <m:e>
                  <m:r>
                    <m:t>10</m:t>
                  </m:r>
                </m:e>
                <m:sup>
                  <m:r>
                    <m:rPr>
                      <m:sty m:val="p"/>
                    </m:rPr>
                    <m:t>−</m:t>
                  </m:r>
                  <m:r>
                    <m:t>5</m:t>
                  </m:r>
                </m:sup>
              </m:sSup>
            </m:oMath>
            <w:r>
              <w:t xml:space="preserve">​</w:t>
            </w:r>
          </w:p>
        </w:tc>
      </w:tr>
      <w:tr>
        <w:tc>
          <w:tcPr/>
          <w:p>
            <w:pPr>
              <w:pStyle w:val="Compact"/>
            </w:pPr>
            <w:r>
              <w:t xml:space="preserve">MAR 20 %</w:t>
            </w:r>
          </w:p>
        </w:tc>
        <w:tc>
          <w:tcPr/>
          <w:p>
            <w:pPr>
              <w:pStyle w:val="Compact"/>
            </w:pPr>
            <w:r>
              <w:t xml:space="preserve">29,90</w:t>
            </w:r>
          </w:p>
        </w:tc>
        <w:tc>
          <w:tcPr/>
          <w:p>
            <w:pPr>
              <w:pStyle w:val="Compact"/>
            </w:pPr>
            <m:oMath>
              <m:r>
                <m:t>1</m:t>
              </m:r>
              <m:r>
                <m:rPr>
                  <m:sty m:val="p"/>
                </m:rPr>
                <m:t>×</m:t>
              </m:r>
              <m:sSup>
                <m:e>
                  <m:r>
                    <m:t>10</m:t>
                  </m:r>
                </m:e>
                <m:sup>
                  <m:r>
                    <m:rPr>
                      <m:sty m:val="p"/>
                    </m:rPr>
                    <m:t>−</m:t>
                  </m:r>
                  <m:r>
                    <m:t>6</m:t>
                  </m:r>
                </m:sup>
              </m:sSup>
            </m:oMath>
            <w:r>
              <w:t xml:space="preserve">​</w:t>
            </w:r>
          </w:p>
        </w:tc>
      </w:tr>
      <w:tr>
        <w:tc>
          <w:tcPr/>
          <w:p>
            <w:pPr>
              <w:pStyle w:val="Compact"/>
            </w:pPr>
            <w:r>
              <w:t xml:space="preserve">MAR 40 %</w:t>
            </w:r>
          </w:p>
        </w:tc>
        <w:tc>
          <w:tcPr/>
          <w:p>
            <w:pPr>
              <w:pStyle w:val="Compact"/>
            </w:pPr>
            <w:r>
              <w:t xml:space="preserve">53,98</w:t>
            </w:r>
          </w:p>
        </w:tc>
        <w:tc>
          <w:tcPr/>
          <w:p>
            <w:pPr>
              <w:pStyle w:val="Compact"/>
            </w:pPr>
            <m:oMath>
              <m:r>
                <m:rPr>
                  <m:sty m:val="p"/>
                </m:rPr>
                <m:t>&lt;</m:t>
              </m:r>
              <m:sSup>
                <m:e>
                  <m:r>
                    <m:t>10</m:t>
                  </m:r>
                </m:e>
                <m:sup>
                  <m:r>
                    <m:rPr>
                      <m:sty m:val="p"/>
                    </m:rPr>
                    <m:t>−</m:t>
                  </m:r>
                  <m:r>
                    <m:t>7</m:t>
                  </m:r>
                </m:sup>
              </m:sSup>
            </m:oMath>
            <w:r>
              <w:t xml:space="preserve">​</w:t>
            </w:r>
          </w:p>
        </w:tc>
      </w:tr>
    </w:tbl>
    <w:p>
      <w:pPr>
        <w:pStyle w:val="BodyText"/>
      </w:pPr>
      <w:r>
        <w:t xml:space="preserve">La significativité extrême (</w:t>
      </w:r>
      <m:oMath>
        <m:r>
          <m:t>p</m:t>
        </m:r>
        <m:r>
          <m:rPr>
            <m:sty m:val="p"/>
          </m:rPr>
          <m:t>&lt;</m:t>
        </m:r>
        <m:sSup>
          <m:e>
            <m:r>
              <m:t>10</m:t>
            </m:r>
          </m:e>
          <m:sup>
            <m:r>
              <m:rPr>
                <m:sty m:val="p"/>
              </m:rPr>
              <m:t>−</m:t>
            </m:r>
            <m:r>
              <m:t>5</m:t>
            </m:r>
          </m:sup>
        </m:sSup>
      </m:oMath>
      <w:r>
        <w:t xml:space="preserve"> </w:t>
      </w:r>
      <w:r>
        <w:t xml:space="preserve">dans tous les cas) confirme que le choix de la méthode d’imputation a un impact statistiquement indiscutable sur la qualité de la reconstruction des données. La valeur du</w:t>
      </w:r>
      <w:r>
        <w:t xml:space="preserve"> </w:t>
      </w:r>
      <m:oMath>
        <m:sSup>
          <m:e>
            <m:r>
              <m:t>χ</m:t>
            </m:r>
          </m:e>
          <m:sup>
            <m:r>
              <m:t>2</m:t>
            </m:r>
          </m:sup>
        </m:sSup>
      </m:oMath>
      <w:r>
        <w:t xml:space="preserve"> </w:t>
      </w:r>
      <w:r>
        <w:t xml:space="preserve">augmente avec le taux de perte, indiquant que les différences entre méthodes s’accentuent lorsque la difficulté du problème augmente.</w:t>
      </w:r>
    </w:p>
    <w:bookmarkEnd w:id="35"/>
    <w:bookmarkStart w:id="37" w:name="X5714ae4613ad0e3350bbcb3c7e65fea59fa35ca"/>
    <w:p>
      <w:pPr>
        <w:pStyle w:val="Heading2"/>
      </w:pPr>
      <w:r>
        <w:t xml:space="preserve">2.4 Impact sur les analyses cliniques (Tableau 3)</w:t>
      </w:r>
    </w:p>
    <w:bookmarkStart w:id="36" w:name="X3be18ca93592737fc11c61621ca8fee5866bc70"/>
    <w:p>
      <w:pPr>
        <w:pStyle w:val="Heading3"/>
      </w:pPr>
      <w:r>
        <w:t xml:space="preserve">Tableau 3 — Effet de l’imputation sur les modèles cliniques (MCAR 20 %)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LR Accuracy (HTA)</w:t>
            </w:r>
          </w:p>
        </w:tc>
        <w:tc>
          <w:tcPr/>
          <w:p>
            <w:pPr>
              <w:pStyle w:val="Compact"/>
            </w:pPr>
            <w:r>
              <w:t xml:space="preserve">Biais</w:t>
            </w:r>
            <w:r>
              <w:t xml:space="preserve"> </w:t>
            </w:r>
            <m:oMath>
              <m:r>
                <m:t>β</m:t>
              </m:r>
            </m:oMath>
          </w:p>
        </w:tc>
        <w:tc>
          <w:tcPr/>
          <w:p>
            <w:pPr>
              <w:pStyle w:val="Compact"/>
            </w:pPr>
            <m:oMath>
              <m:sSup>
                <m:e>
                  <m:r>
                    <m:t>R</m:t>
                  </m:r>
                </m:e>
                <m:sup>
                  <m:r>
                    <m:t>2</m:t>
                  </m:r>
                </m:sup>
              </m:sSup>
            </m:oMath>
            <w:r>
              <w:t xml:space="preserve"> </w:t>
            </w:r>
            <w:r>
              <w:t xml:space="preserve">Régression (IMC)</w:t>
            </w:r>
          </w:p>
        </w:tc>
      </w:tr>
      <w:tr>
        <w:tc>
          <w:tcPr/>
          <w:p>
            <w:pPr>
              <w:pStyle w:val="Compact"/>
            </w:pPr>
            <w:r>
              <w:rPr>
                <w:b/>
                <w:bCs/>
              </w:rPr>
              <w:t xml:space="preserve">Données originales</w:t>
            </w:r>
          </w:p>
        </w:tc>
        <w:tc>
          <w:tcPr/>
          <w:p>
            <w:pPr>
              <w:pStyle w:val="Compact"/>
            </w:pPr>
            <w:r>
              <w:t xml:space="preserve">—</w:t>
            </w:r>
          </w:p>
        </w:tc>
        <w:tc>
          <w:tcPr/>
          <w:p>
            <w:pPr>
              <w:pStyle w:val="Compact"/>
            </w:pPr>
            <w:r>
              <w:t xml:space="preserve">0,000 (réf.)</w:t>
            </w:r>
          </w:p>
        </w:tc>
        <w:tc>
          <w:tcPr/>
          <w:p>
            <w:pPr>
              <w:pStyle w:val="Compact"/>
            </w:pPr>
            <w:r>
              <w:t xml:space="preserve">— (réf.)</w:t>
            </w:r>
          </w:p>
        </w:tc>
      </w:tr>
      <w:tr>
        <w:tc>
          <w:tcPr/>
          <w:p>
            <w:pPr>
              <w:pStyle w:val="Compact"/>
            </w:pPr>
            <w:r>
              <w:t xml:space="preserve">Médiane/Mode</w:t>
            </w:r>
          </w:p>
        </w:tc>
        <w:tc>
          <w:tcPr/>
          <w:p>
            <w:pPr>
              <w:pStyle w:val="Compact"/>
            </w:pPr>
            <w:r>
              <w:t xml:space="preserve">0,881</w:t>
            </w:r>
          </w:p>
        </w:tc>
        <w:tc>
          <w:tcPr/>
          <w:p>
            <w:pPr>
              <w:pStyle w:val="Compact"/>
            </w:pPr>
            <w:r>
              <w:t xml:space="preserve">0,249</w:t>
            </w:r>
          </w:p>
        </w:tc>
        <w:tc>
          <w:tcPr/>
          <w:p>
            <w:pPr>
              <w:pStyle w:val="Compact"/>
            </w:pPr>
            <w:r>
              <w:t xml:space="preserve">0,772</w:t>
            </w:r>
          </w:p>
        </w:tc>
      </w:tr>
      <w:tr>
        <w:tc>
          <w:tcPr/>
          <w:p>
            <w:pPr>
              <w:pStyle w:val="Compact"/>
            </w:pPr>
            <w:r>
              <w:t xml:space="preserve">KNN (</w:t>
            </w:r>
            <m:oMath>
              <m:r>
                <m:t>k</m:t>
              </m:r>
              <m:r>
                <m:rPr>
                  <m:sty m:val="p"/>
                </m:rPr>
                <m:t>=</m:t>
              </m:r>
              <m:r>
                <m:t>5</m:t>
              </m:r>
            </m:oMath>
            <w:r>
              <w:t xml:space="preserve">)</w:t>
            </w:r>
          </w:p>
        </w:tc>
        <w:tc>
          <w:tcPr/>
          <w:p>
            <w:pPr>
              <w:pStyle w:val="Compact"/>
            </w:pPr>
            <w:r>
              <w:t xml:space="preserve">0,894</w:t>
            </w:r>
          </w:p>
        </w:tc>
        <w:tc>
          <w:tcPr/>
          <w:p>
            <w:pPr>
              <w:pStyle w:val="Compact"/>
            </w:pPr>
            <w:r>
              <w:t xml:space="preserve">0,293</w:t>
            </w:r>
          </w:p>
        </w:tc>
        <w:tc>
          <w:tcPr/>
          <w:p>
            <w:pPr>
              <w:pStyle w:val="Compact"/>
            </w:pPr>
            <w:r>
              <w:t xml:space="preserve">0,791</w:t>
            </w:r>
          </w:p>
        </w:tc>
      </w:tr>
      <w:tr>
        <w:tc>
          <w:tcPr/>
          <w:p>
            <w:pPr>
              <w:pStyle w:val="Compact"/>
            </w:pPr>
            <w:r>
              <w:t xml:space="preserve">MICE (BayesianRidge)</w:t>
            </w:r>
          </w:p>
        </w:tc>
        <w:tc>
          <w:tcPr/>
          <w:p>
            <w:pPr>
              <w:pStyle w:val="Compact"/>
            </w:pPr>
            <w:r>
              <w:t xml:space="preserve">0,840</w:t>
            </w:r>
          </w:p>
        </w:tc>
        <w:tc>
          <w:tcPr/>
          <w:p>
            <w:pPr>
              <w:pStyle w:val="Compact"/>
            </w:pPr>
            <w:r>
              <w:t xml:space="preserve">0,327</w:t>
            </w:r>
          </w:p>
        </w:tc>
        <w:tc>
          <w:tcPr/>
          <w:p>
            <w:pPr>
              <w:pStyle w:val="Compact"/>
            </w:pPr>
            <w:r>
              <w:t xml:space="preserve">0,661</w:t>
            </w:r>
          </w:p>
        </w:tc>
      </w:tr>
      <w:tr>
        <w:tc>
          <w:tcPr/>
          <w:p>
            <w:pPr>
              <w:pStyle w:val="Compact"/>
            </w:pPr>
            <w:r>
              <w:rPr>
                <w:b/>
                <w:bCs/>
              </w:rPr>
              <w:t xml:space="preserve">MissForest</w:t>
            </w:r>
          </w:p>
        </w:tc>
        <w:tc>
          <w:tcPr/>
          <w:p>
            <w:pPr>
              <w:pStyle w:val="Compact"/>
            </w:pPr>
            <w:r>
              <w:rPr>
                <w:b/>
                <w:bCs/>
              </w:rPr>
              <w:t xml:space="preserve">0,958</w:t>
            </w:r>
          </w:p>
        </w:tc>
        <w:tc>
          <w:tcPr/>
          <w:p>
            <w:pPr>
              <w:pStyle w:val="Compact"/>
            </w:pPr>
            <w:r>
              <w:rPr>
                <w:b/>
                <w:bCs/>
              </w:rPr>
              <w:t xml:space="preserve">0,149</w:t>
            </w:r>
          </w:p>
        </w:tc>
        <w:tc>
          <w:tcPr/>
          <w:p>
            <w:pPr>
              <w:pStyle w:val="Compact"/>
            </w:pPr>
            <w:r>
              <w:rPr>
                <w:b/>
                <w:bCs/>
              </w:rPr>
              <w:t xml:space="preserve">0,825</w:t>
            </w:r>
          </w:p>
        </w:tc>
      </w:tr>
    </w:tbl>
    <w:p>
      <w:pPr>
        <w:pStyle w:val="BodyText"/>
      </w:pPr>
      <w:r>
        <w:t xml:space="preserve">MissForest produit le modèle de régression logistique le plus proche de la référence, avec un biais sur les coefficients</w:t>
      </w:r>
      <w:r>
        <w:t xml:space="preserve"> </w:t>
      </w:r>
      <m:oMath>
        <m:r>
          <m:t>β</m:t>
        </m:r>
      </m:oMath>
      <w:r>
        <w:t xml:space="preserve"> </w:t>
      </w:r>
      <w:r>
        <w:t xml:space="preserve">réduit de 40,2 % par rapport à la Médiane/Mode (biais = 0,149 vs 0,249) et une accuracy de classification de l’HTA de 95,8 %. Le</w:t>
      </w:r>
      <w:r>
        <w:t xml:space="preserve"> </w:t>
      </w:r>
      <m:oMath>
        <m:sSup>
          <m:e>
            <m:r>
              <m:t>R</m:t>
            </m:r>
          </m:e>
          <m:sup>
            <m:r>
              <m:t>2</m:t>
            </m:r>
          </m:sup>
        </m:sSup>
      </m:oMath>
      <w:r>
        <w:t xml:space="preserve"> </w:t>
      </w:r>
      <w:r>
        <w:t xml:space="preserve">du modèle de régression linéaire pour l’IMC est également le plus élevé (0,825), indiquant une meilleure préservation des relations prédictives inter-variables.</w:t>
      </w:r>
    </w:p>
    <w:p>
      <w:pPr>
        <w:pStyle w:val="BodyText"/>
      </w:pPr>
      <w:r>
        <w:t xml:space="preserve">MICE (BayesianRidge) produit le biais le plus élevé sur les coefficients (0,327) et le</w:t>
      </w:r>
      <w:r>
        <w:t xml:space="preserve"> </w:t>
      </w:r>
      <m:oMath>
        <m:sSup>
          <m:e>
            <m:r>
              <m:t>R</m:t>
            </m:r>
          </m:e>
          <m:sup>
            <m:r>
              <m:t>2</m:t>
            </m:r>
          </m:sup>
        </m:sSup>
      </m:oMath>
      <w:r>
        <w:t xml:space="preserve"> </w:t>
      </w:r>
      <w:r>
        <w:t xml:space="preserve">le plus faible (0,661), confirmant que la mauvaise spécification du modèle d’imputation se propage aux analyses cliniques ultérieures.</w:t>
      </w:r>
    </w:p>
    <w:bookmarkEnd w:id="36"/>
    <w:bookmarkEnd w:id="37"/>
    <w:bookmarkStart w:id="39" w:name="analyse-de-la-stabilité-monte-carlo"/>
    <w:p>
      <w:pPr>
        <w:pStyle w:val="Heading2"/>
      </w:pPr>
      <w:r>
        <w:t xml:space="preserve">2.5 Analyse de la stabilité (Monte Carlo)</w:t>
      </w:r>
    </w:p>
    <w:bookmarkStart w:id="38" w:name="X05edad3fac37d9f74b4fac4b6f020c0a00476ae"/>
    <w:p>
      <w:pPr>
        <w:pStyle w:val="Heading3"/>
      </w:pPr>
      <w:r>
        <w:t xml:space="preserve">Tableau 4 — Stabilité des méthodes (CV du RMSE, MCAR)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Méthode</w:t>
            </w:r>
          </w:p>
        </w:tc>
        <w:tc>
          <w:tcPr/>
          <w:p>
            <w:pPr>
              <w:pStyle w:val="Compact"/>
            </w:pPr>
            <w:r>
              <w:t xml:space="preserve">CV RMSE 10 %</w:t>
            </w:r>
          </w:p>
        </w:tc>
        <w:tc>
          <w:tcPr/>
          <w:p>
            <w:pPr>
              <w:pStyle w:val="Compact"/>
            </w:pPr>
            <w:r>
              <w:t xml:space="preserve">CV RMSE 20 %</w:t>
            </w:r>
          </w:p>
        </w:tc>
        <w:tc>
          <w:tcPr/>
          <w:p>
            <w:pPr>
              <w:pStyle w:val="Compact"/>
            </w:pPr>
            <w:r>
              <w:t xml:space="preserve">CV RMSE 40 %</w:t>
            </w:r>
          </w:p>
        </w:tc>
        <w:tc>
          <w:tcPr/>
          <w:p>
            <w:pPr>
              <w:pStyle w:val="Compact"/>
            </w:pPr>
            <m:oMath>
              <m:sSub>
                <m:e>
                  <m:r>
                    <m:t>R</m:t>
                  </m:r>
                </m:e>
                <m:sub>
                  <m:r>
                    <m:t>V</m:t>
                  </m:r>
                </m:sub>
              </m:sSub>
            </m:oMath>
            <w:r>
              <w:t xml:space="preserve"> </w:t>
            </w:r>
            <w:r>
              <w:t xml:space="preserve">40 %</w:t>
            </w:r>
          </w:p>
        </w:tc>
      </w:tr>
      <w:tr>
        <w:tc>
          <w:tcPr/>
          <w:p>
            <w:pPr>
              <w:pStyle w:val="Compact"/>
            </w:pPr>
            <w:r>
              <w:t xml:space="preserve">Médiane/Mode</w:t>
            </w:r>
          </w:p>
        </w:tc>
        <w:tc>
          <w:tcPr/>
          <w:p>
            <w:pPr>
              <w:pStyle w:val="Compact"/>
            </w:pPr>
            <w:r>
              <w:t xml:space="preserve">0,289</w:t>
            </w:r>
          </w:p>
        </w:tc>
        <w:tc>
          <w:tcPr/>
          <w:p>
            <w:pPr>
              <w:pStyle w:val="Compact"/>
            </w:pPr>
            <w:r>
              <w:t xml:space="preserve">0,138</w:t>
            </w:r>
          </w:p>
        </w:tc>
        <w:tc>
          <w:tcPr/>
          <w:p>
            <w:pPr>
              <w:pStyle w:val="Compact"/>
            </w:pPr>
            <w:r>
              <w:t xml:space="preserve">0,121</w:t>
            </w:r>
          </w:p>
        </w:tc>
        <w:tc>
          <w:tcPr/>
          <w:p>
            <w:pPr>
              <w:pStyle w:val="Compact"/>
            </w:pPr>
            <w:r>
              <w:t xml:space="preserve">0,620</w:t>
            </w:r>
          </w:p>
        </w:tc>
      </w:tr>
      <w:tr>
        <w:tc>
          <w:tcPr/>
          <w:p>
            <w:pPr>
              <w:pStyle w:val="Compact"/>
            </w:pPr>
            <w:r>
              <w:t xml:space="preserve">KNN (</w:t>
            </w:r>
            <m:oMath>
              <m:r>
                <m:t>k</m:t>
              </m:r>
              <m:r>
                <m:rPr>
                  <m:sty m:val="p"/>
                </m:rPr>
                <m:t>=</m:t>
              </m:r>
              <m:r>
                <m:t>5</m:t>
              </m:r>
            </m:oMath>
            <w:r>
              <w:t xml:space="preserve">)</w:t>
            </w:r>
          </w:p>
        </w:tc>
        <w:tc>
          <w:tcPr/>
          <w:p>
            <w:pPr>
              <w:pStyle w:val="Compact"/>
            </w:pPr>
            <w:r>
              <w:t xml:space="preserve">0,270</w:t>
            </w:r>
          </w:p>
        </w:tc>
        <w:tc>
          <w:tcPr/>
          <w:p>
            <w:pPr>
              <w:pStyle w:val="Compact"/>
            </w:pPr>
            <w:r>
              <w:t xml:space="preserve">0,098</w:t>
            </w:r>
          </w:p>
        </w:tc>
        <w:tc>
          <w:tcPr/>
          <w:p>
            <w:pPr>
              <w:pStyle w:val="Compact"/>
            </w:pPr>
            <w:r>
              <w:t xml:space="preserve">0,077</w:t>
            </w:r>
          </w:p>
        </w:tc>
        <w:tc>
          <w:tcPr/>
          <w:p>
            <w:pPr>
              <w:pStyle w:val="Compact"/>
            </w:pPr>
            <w:r>
              <w:t xml:space="preserve">0,672</w:t>
            </w:r>
          </w:p>
        </w:tc>
      </w:tr>
      <w:tr>
        <w:tc>
          <w:tcPr/>
          <w:p>
            <w:pPr>
              <w:pStyle w:val="Compact"/>
            </w:pPr>
            <w:r>
              <w:t xml:space="preserve">MICE (BayesianRidge)</w:t>
            </w:r>
          </w:p>
        </w:tc>
        <w:tc>
          <w:tcPr/>
          <w:p>
            <w:pPr>
              <w:pStyle w:val="Compact"/>
            </w:pPr>
            <w:r>
              <w:t xml:space="preserve">0,162</w:t>
            </w:r>
          </w:p>
        </w:tc>
        <w:tc>
          <w:tcPr/>
          <w:p>
            <w:pPr>
              <w:pStyle w:val="Compact"/>
            </w:pPr>
            <w:r>
              <w:t xml:space="preserve">0,111</w:t>
            </w:r>
          </w:p>
        </w:tc>
        <w:tc>
          <w:tcPr/>
          <w:p>
            <w:pPr>
              <w:pStyle w:val="Compact"/>
            </w:pPr>
            <w:r>
              <w:rPr>
                <w:b/>
                <w:bCs/>
              </w:rPr>
              <w:t xml:space="preserve">0,052</w:t>
            </w:r>
          </w:p>
        </w:tc>
        <w:tc>
          <w:tcPr/>
          <w:p>
            <w:pPr>
              <w:pStyle w:val="Compact"/>
            </w:pPr>
            <w:r>
              <w:t xml:space="preserve">1,121</w:t>
            </w:r>
          </w:p>
        </w:tc>
      </w:tr>
      <w:tr>
        <w:tc>
          <w:tcPr/>
          <w:p>
            <w:pPr>
              <w:pStyle w:val="Compact"/>
            </w:pPr>
            <w:r>
              <w:rPr>
                <w:b/>
                <w:bCs/>
              </w:rPr>
              <w:t xml:space="preserve">MissForest</w:t>
            </w:r>
          </w:p>
        </w:tc>
        <w:tc>
          <w:tcPr/>
          <w:p>
            <w:pPr>
              <w:pStyle w:val="Compact"/>
            </w:pPr>
            <w:r>
              <w:t xml:space="preserve">0,348</w:t>
            </w:r>
          </w:p>
        </w:tc>
        <w:tc>
          <w:tcPr/>
          <w:p>
            <w:pPr>
              <w:pStyle w:val="Compact"/>
            </w:pPr>
            <w:r>
              <w:t xml:space="preserve">0,305</w:t>
            </w:r>
          </w:p>
        </w:tc>
        <w:tc>
          <w:tcPr/>
          <w:p>
            <w:pPr>
              <w:pStyle w:val="Compact"/>
            </w:pPr>
            <w:r>
              <w:t xml:space="preserve">0,164</w:t>
            </w:r>
          </w:p>
        </w:tc>
        <w:tc>
          <w:tcPr/>
          <w:p>
            <w:pPr>
              <w:pStyle w:val="Compact"/>
            </w:pPr>
            <w:r>
              <w:rPr>
                <w:b/>
                <w:bCs/>
              </w:rPr>
              <w:t xml:space="preserve">0,824</w:t>
            </w:r>
          </w:p>
        </w:tc>
      </w:tr>
    </w:tbl>
    <w:p>
      <w:pPr>
        <w:pStyle w:val="BodyText"/>
      </w:pPr>
      <w:r>
        <w:rPr>
          <w:b/>
          <w:bCs/>
        </w:rPr>
        <w:t xml:space="preserve">MICE présente le coefficient de variation (CV) le plus faible</w:t>
      </w:r>
      <w:r>
        <w:t xml:space="preserve"> </w:t>
      </w:r>
      <w:r>
        <w:t xml:space="preserve">à 40 % (0,052), indiquant une grande stabilité des prédictions — mais cette stabilité s’accompagne d’un biais systématique élevé (RMSE le plus élevé). MICE est stablement mauvais.</w:t>
      </w:r>
    </w:p>
    <w:p>
      <w:pPr>
        <w:pStyle w:val="BodyText"/>
      </w:pPr>
      <w:r>
        <w:rPr>
          <w:b/>
          <w:bCs/>
        </w:rPr>
        <w:t xml:space="preserve">MissForest a le CV le plus élevé</w:t>
      </w:r>
      <w:r>
        <w:t xml:space="preserve"> </w:t>
      </w:r>
      <w:r>
        <w:t xml:space="preserve">(0,164 à 40 %), reflétant une sensibilité plus grande à la composition spécifique des données manquantes d’une répétition à l’autre. Cette variabilité est le prix de la flexibilité non paramétrique.</w:t>
      </w:r>
    </w:p>
    <w:p>
      <w:pPr>
        <w:pStyle w:val="BodyText"/>
      </w:pPr>
      <w:r>
        <w:rPr>
          <w:b/>
          <w:bCs/>
        </w:rPr>
        <w:t xml:space="preserve">La Médiane/Mode voit son ratio de variance</w:t>
      </w:r>
      <w:r>
        <w:rPr>
          <w:b/>
          <w:bCs/>
        </w:rPr>
        <w:t xml:space="preserve"> </w:t>
      </w:r>
      <m:oMath>
        <m:sSub>
          <m:e>
            <m:r>
              <m:t>R</m:t>
            </m:r>
          </m:e>
          <m:sub>
            <m:r>
              <m:t>V</m:t>
            </m:r>
          </m:sub>
        </m:sSub>
      </m:oMath>
      <w:r>
        <w:rPr>
          <w:b/>
          <w:bCs/>
        </w:rPr>
        <w:t xml:space="preserve"> </w:t>
      </w:r>
      <w:r>
        <w:rPr>
          <w:b/>
          <w:bCs/>
        </w:rPr>
        <w:t xml:space="preserve">chuter à 0,620</w:t>
      </w:r>
      <w:r>
        <w:t xml:space="preserve"> </w:t>
      </w:r>
      <w:r>
        <w:t xml:space="preserve">à 40 %, confirmant l’effondrement de la variabilité inter-individuelle (−38 %). Ce biais de variance est le principal danger clinique de l’imputation naïve.</w:t>
      </w:r>
    </w:p>
    <w:bookmarkEnd w:id="38"/>
    <w:bookmarkEnd w:id="39"/>
    <w:bookmarkStart w:id="40" w:name="performance-informatique"/>
    <w:p>
      <w:pPr>
        <w:pStyle w:val="Heading2"/>
      </w:pPr>
      <w:r>
        <w:t xml:space="preserve">2.6 Performance informatique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Méthode</w:t>
            </w:r>
          </w:p>
        </w:tc>
        <w:tc>
          <w:tcPr/>
          <w:p>
            <w:pPr>
              <w:pStyle w:val="Compact"/>
            </w:pPr>
            <w:r>
              <w:t xml:space="preserve">Temps moyen (s)</w:t>
            </w:r>
          </w:p>
        </w:tc>
        <w:tc>
          <w:tcPr/>
          <w:p>
            <w:pPr>
              <w:pStyle w:val="Compact"/>
            </w:pPr>
            <w:r>
              <w:t xml:space="preserve">Écart-type (s)</w:t>
            </w:r>
          </w:p>
        </w:tc>
        <w:tc>
          <w:tcPr/>
          <w:p>
            <w:pPr>
              <w:pStyle w:val="Compact"/>
            </w:pPr>
            <w:r>
              <w:t xml:space="preserve">Min (s)</w:t>
            </w:r>
          </w:p>
        </w:tc>
        <w:tc>
          <w:tcPr/>
          <w:p>
            <w:pPr>
              <w:pStyle w:val="Compact"/>
            </w:pPr>
            <w:r>
              <w:t xml:space="preserve">Max (s)</w:t>
            </w:r>
          </w:p>
        </w:tc>
      </w:tr>
      <w:tr>
        <w:tc>
          <w:tcPr/>
          <w:p>
            <w:pPr>
              <w:pStyle w:val="Compact"/>
            </w:pPr>
            <w:r>
              <w:t xml:space="preserve">Médiane/Mode</w:t>
            </w:r>
          </w:p>
        </w:tc>
        <w:tc>
          <w:tcPr/>
          <w:p>
            <w:pPr>
              <w:pStyle w:val="Compact"/>
            </w:pPr>
            <w:r>
              <w:rPr>
                <w:b/>
                <w:bCs/>
              </w:rPr>
              <w:t xml:space="preserve">0,013</w:t>
            </w:r>
          </w:p>
        </w:tc>
        <w:tc>
          <w:tcPr/>
          <w:p>
            <w:pPr>
              <w:pStyle w:val="Compact"/>
            </w:pPr>
            <w:r>
              <w:t xml:space="preserve">0,004</w:t>
            </w:r>
          </w:p>
        </w:tc>
        <w:tc>
          <w:tcPr/>
          <w:p>
            <w:pPr>
              <w:pStyle w:val="Compact"/>
            </w:pPr>
            <w:r>
              <w:t xml:space="preserve">0,006</w:t>
            </w:r>
          </w:p>
        </w:tc>
        <w:tc>
          <w:tcPr/>
          <w:p>
            <w:pPr>
              <w:pStyle w:val="Compact"/>
            </w:pPr>
            <w:r>
              <w:t xml:space="preserve">0,019</w:t>
            </w:r>
          </w:p>
        </w:tc>
      </w:tr>
      <w:tr>
        <w:tc>
          <w:tcPr/>
          <w:p>
            <w:pPr>
              <w:pStyle w:val="Compact"/>
            </w:pPr>
            <w:r>
              <w:t xml:space="preserve">KNN (</w:t>
            </w:r>
            <m:oMath>
              <m:r>
                <m:t>k</m:t>
              </m:r>
              <m:r>
                <m:rPr>
                  <m:sty m:val="p"/>
                </m:rPr>
                <m:t>=</m:t>
              </m:r>
              <m:r>
                <m:t>5</m:t>
              </m:r>
            </m:oMath>
            <w:r>
              <w:t xml:space="preserve">)</w:t>
            </w:r>
          </w:p>
        </w:tc>
        <w:tc>
          <w:tcPr/>
          <w:p>
            <w:pPr>
              <w:pStyle w:val="Compact"/>
            </w:pPr>
            <w:r>
              <w:t xml:space="preserve">0,090</w:t>
            </w:r>
          </w:p>
        </w:tc>
        <w:tc>
          <w:tcPr/>
          <w:p>
            <w:pPr>
              <w:pStyle w:val="Compact"/>
            </w:pPr>
            <w:r>
              <w:t xml:space="preserve">0,044</w:t>
            </w:r>
          </w:p>
        </w:tc>
        <w:tc>
          <w:tcPr/>
          <w:p>
            <w:pPr>
              <w:pStyle w:val="Compact"/>
            </w:pPr>
            <w:r>
              <w:t xml:space="preserve">0,036</w:t>
            </w:r>
          </w:p>
        </w:tc>
        <w:tc>
          <w:tcPr/>
          <w:p>
            <w:pPr>
              <w:pStyle w:val="Compact"/>
            </w:pPr>
            <w:r>
              <w:t xml:space="preserve">0,159</w:t>
            </w:r>
          </w:p>
        </w:tc>
      </w:tr>
      <w:tr>
        <w:tc>
          <w:tcPr/>
          <w:p>
            <w:pPr>
              <w:pStyle w:val="Compact"/>
            </w:pPr>
            <w:r>
              <w:t xml:space="preserve">MICE (BayesianRidge)</w:t>
            </w:r>
          </w:p>
        </w:tc>
        <w:tc>
          <w:tcPr/>
          <w:p>
            <w:pPr>
              <w:pStyle w:val="Compact"/>
            </w:pPr>
            <w:r>
              <w:t xml:space="preserve">2,980</w:t>
            </w:r>
          </w:p>
        </w:tc>
        <w:tc>
          <w:tcPr/>
          <w:p>
            <w:pPr>
              <w:pStyle w:val="Compact"/>
            </w:pPr>
            <w:r>
              <w:t xml:space="preserve">0,993</w:t>
            </w:r>
          </w:p>
        </w:tc>
        <w:tc>
          <w:tcPr/>
          <w:p>
            <w:pPr>
              <w:pStyle w:val="Compact"/>
            </w:pPr>
            <w:r>
              <w:t xml:space="preserve">1,744</w:t>
            </w:r>
          </w:p>
        </w:tc>
        <w:tc>
          <w:tcPr/>
          <w:p>
            <w:pPr>
              <w:pStyle w:val="Compact"/>
            </w:pPr>
            <w:r>
              <w:t xml:space="preserve">4,113</w:t>
            </w:r>
          </w:p>
        </w:tc>
      </w:tr>
      <w:tr>
        <w:tc>
          <w:tcPr/>
          <w:p>
            <w:pPr>
              <w:pStyle w:val="Compact"/>
            </w:pPr>
            <w:r>
              <w:t xml:space="preserve">MissForest</w:t>
            </w:r>
          </w:p>
        </w:tc>
        <w:tc>
          <w:tcPr/>
          <w:p>
            <w:pPr>
              <w:pStyle w:val="Compact"/>
            </w:pPr>
            <w:r>
              <w:t xml:space="preserve">86,248</w:t>
            </w:r>
          </w:p>
        </w:tc>
        <w:tc>
          <w:tcPr/>
          <w:p>
            <w:pPr>
              <w:pStyle w:val="Compact"/>
            </w:pPr>
            <w:r>
              <w:t xml:space="preserve">23,021</w:t>
            </w:r>
          </w:p>
        </w:tc>
        <w:tc>
          <w:tcPr/>
          <w:p>
            <w:pPr>
              <w:pStyle w:val="Compact"/>
            </w:pPr>
            <w:r>
              <w:t xml:space="preserve">51,879</w:t>
            </w:r>
          </w:p>
        </w:tc>
        <w:tc>
          <w:tcPr/>
          <w:p>
            <w:pPr>
              <w:pStyle w:val="Compact"/>
            </w:pPr>
            <w:r>
              <w:t xml:space="preserve">113,055</w:t>
            </w:r>
          </w:p>
        </w:tc>
      </w:tr>
    </w:tbl>
    <w:p>
      <w:pPr>
        <w:pStyle w:val="BodyText"/>
      </w:pPr>
      <w:r>
        <w:t xml:space="preserve">MissForest est</w:t>
      </w:r>
      <w:r>
        <w:t xml:space="preserve"> </w:t>
      </w:r>
      <w:r>
        <w:rPr>
          <w:b/>
          <w:bCs/>
        </w:rPr>
        <w:t xml:space="preserve">6 600 fois plus lent</w:t>
      </w:r>
      <w:r>
        <w:t xml:space="preserve"> </w:t>
      </w:r>
      <w:r>
        <w:t xml:space="preserve">que la Médiane/Mode. Ce différentiel de performance est rédhibitoire pour les très grandes bases de données (</w:t>
      </w:r>
      <m:oMath>
        <m:r>
          <m:t>N</m:t>
        </m:r>
        <m:r>
          <m:rPr>
            <m:sty m:val="p"/>
          </m:rPr>
          <m:t>&gt;</m:t>
        </m:r>
        <m:sSup>
          <m:e>
            <m:r>
              <m:t>10</m:t>
            </m:r>
          </m:e>
          <m:sup>
            <m:r>
              <m:t>5</m:t>
            </m:r>
          </m:sup>
        </m:sSup>
      </m:oMath>
      <w:r>
        <w:t xml:space="preserve">) ou les applications en temps réel, mais reste acceptable pour une analyse ponctuelle sur une base de taille modérée (</w:t>
      </w:r>
      <m:oMath>
        <m:r>
          <m:t>N</m:t>
        </m:r>
        <m:r>
          <m:rPr>
            <m:sty m:val="p"/>
          </m:rPr>
          <m:t>≈</m:t>
        </m:r>
        <m:r>
          <m:t>300</m:t>
        </m:r>
      </m:oMath>
      <w:r>
        <w:t xml:space="preserve">). Des optimisations (réduction du nombre d’arbres, parallélisation GPU) pourraient réduire ce temps d’un facteur 2 à 5.</w:t>
      </w:r>
    </w:p>
    <w:p>
      <w:r>
        <w:pict>
          <v:rect style="width:0;height:1.5pt" o:hralign="center" o:hrstd="t" o:hr="t"/>
        </w:pict>
      </w:r>
    </w:p>
    <w:bookmarkEnd w:id="40"/>
    <w:bookmarkEnd w:id="41"/>
    <w:bookmarkStart w:id="48" w:name="section-3-discussion"/>
    <w:p>
      <w:pPr>
        <w:pStyle w:val="Heading1"/>
      </w:pPr>
      <w:r>
        <w:t xml:space="preserve">SECTION 3 : DISCUSSION</w:t>
      </w:r>
    </w:p>
    <w:bookmarkStart w:id="42" w:name="X63b889b36b4ac0430b591bf9d1442ad379b4070"/>
    <w:p>
      <w:pPr>
        <w:pStyle w:val="Heading2"/>
      </w:pPr>
      <w:r>
        <w:t xml:space="preserve">3.1 Pourquoi MissForest surpasse-t-il systématiquement ?</w:t>
      </w:r>
    </w:p>
    <w:p>
      <w:pPr>
        <w:pStyle w:val="FirstParagraph"/>
      </w:pPr>
      <w:r>
        <w:t xml:space="preserve">La supériorité de MissForest repose sur une adéquation remarquable entre ses propriétés algorithmiques et les caractéristiques des données cliniques cardiométaboliques :</w:t>
      </w:r>
    </w:p>
    <w:p>
      <w:pPr>
        <w:pStyle w:val="BodyText"/>
      </w:pPr>
      <w:r>
        <w:rPr>
          <w:b/>
          <w:bCs/>
        </w:rPr>
        <w:t xml:space="preserve">1. Robustesse à la non-normalité.</w:t>
      </w:r>
      <w:r>
        <w:t xml:space="preserve"> </w:t>
      </w:r>
      <w:r>
        <w:t xml:space="preserve">Avec 87,9 % de variables continues non gaussiennes, l’hypothèse de normalité des résidus — centrale dans les modèles linéaires bayésiens (MICE/BayesianRidge) — est massivement violée. MissForest, en partitionnant récursivement l’espace des covariables, est structurellement agnostique à la forme distributionnelle. Ce résultat est cohérent avec les travaux de Stekhoven &amp; Bühlmann (2012) et Waljee et al. (2013) qui ont démontré la supériorité de MissForest sur les données biomédicales.</w:t>
      </w:r>
    </w:p>
    <w:p>
      <w:pPr>
        <w:pStyle w:val="BodyText"/>
      </w:pPr>
      <w:r>
        <w:rPr>
          <w:b/>
          <w:bCs/>
        </w:rPr>
        <w:t xml:space="preserve">2. Capture des interactions non linéaires.</w:t>
      </w:r>
      <w:r>
        <w:t xml:space="preserve"> </w:t>
      </w:r>
      <w:r>
        <w:t xml:space="preserve">Les relations entre variables métaboliques sont notoirement non linéaires : la glycémie et l’insulinémie entretiennent une relation en U avec le risque cardiovasculaire ; l’IMC et l’adiponectine HMW sont liés par une fonction sigmoïde. Les forêts aléatoires modélisent nativement ces effets de seuil sans nécessiter de transformation préalable.</w:t>
      </w:r>
    </w:p>
    <w:p>
      <w:pPr>
        <w:pStyle w:val="BodyText"/>
      </w:pPr>
      <w:r>
        <w:rPr>
          <w:b/>
          <w:bCs/>
        </w:rPr>
        <w:t xml:space="preserve">3. Gestion unifiée des types mixtes.</w:t>
      </w:r>
      <w:r>
        <w:t xml:space="preserve"> </w:t>
      </w:r>
      <w:r>
        <w:t xml:space="preserve">La capacité de MissForest à imputer simultanément variables continues et catégorielles évite les artefacts de discontinuité générés par les approches séparant les types de variables. Cette propriété explique l’écart particulièrement important sur les variables ordinales (F1 = 0,865 vs 0,360 pour la Médiane/Mode).</w:t>
      </w:r>
    </w:p>
    <w:bookmarkEnd w:id="42"/>
    <w:bookmarkStart w:id="45" w:name="X505ca2073a5c73efc10a67a28d24fb168eb2bd8"/>
    <w:p>
      <w:pPr>
        <w:pStyle w:val="Heading2"/>
      </w:pPr>
      <w:r>
        <w:t xml:space="preserve">3.2 Limites identifiées et seuils de tolérance</w:t>
      </w:r>
    </w:p>
    <w:bookmarkStart w:id="43" w:name="seuil-critique-mar-40"/>
    <w:p>
      <w:pPr>
        <w:pStyle w:val="Heading3"/>
      </w:pPr>
      <w:r>
        <w:t xml:space="preserve">Seuil critique MAR 40 %</w:t>
      </w:r>
    </w:p>
    <w:p>
      <w:pPr>
        <w:pStyle w:val="FirstParagraph"/>
      </w:pPr>
      <w:r>
        <w:t xml:space="preserve">L’inversion de performance au taux MAR 40 % (Médiane/Mode</w:t>
      </w:r>
      <w:r>
        <w:t xml:space="preserve"> </w:t>
      </w:r>
      <m:oMath>
        <m:r>
          <m:rPr>
            <m:sty m:val="p"/>
          </m:rPr>
          <m:t>≈</m:t>
        </m:r>
      </m:oMath>
      <w:r>
        <w:t xml:space="preserve"> </w:t>
      </w:r>
      <w:r>
        <w:t xml:space="preserve">MissForest) délimite un</w:t>
      </w:r>
      <w:r>
        <w:t xml:space="preserve"> </w:t>
      </w:r>
      <w:r>
        <w:rPr>
          <w:b/>
          <w:bCs/>
        </w:rPr>
        <w:t xml:space="preserve">seuil critique</w:t>
      </w:r>
      <w:r>
        <w:t xml:space="preserve"> </w:t>
      </w:r>
      <w:r>
        <w:t xml:space="preserve">au-delà duquel la structure de dépendance inter-variables est trop dégradée pour que les méthodes multivariées conservent leur avantage. Ce seuil dépend probablement :</w:t>
      </w:r>
      <w:r>
        <w:t xml:space="preserve"> </w:t>
      </w:r>
      <w:r>
        <w:t xml:space="preserve">- De la dimensionalité</w:t>
      </w:r>
      <w:r>
        <w:t xml:space="preserve"> </w:t>
      </w:r>
      <m:oMath>
        <m:r>
          <m:t>P</m:t>
        </m:r>
      </m:oMath>
      <w:r>
        <w:t xml:space="preserve"> </w:t>
      </w:r>
      <w:r>
        <w:t xml:space="preserve">des données (plus</w:t>
      </w:r>
      <w:r>
        <w:t xml:space="preserve"> </w:t>
      </w:r>
      <m:oMath>
        <m:r>
          <m:t>P</m:t>
        </m:r>
      </m:oMath>
      <w:r>
        <w:t xml:space="preserve"> </w:t>
      </w:r>
      <w:r>
        <w:t xml:space="preserve">est grand, plus l’information résiduelle est importante) ;</w:t>
      </w:r>
      <w:r>
        <w:t xml:space="preserve"> </w:t>
      </w:r>
      <w:r>
        <w:t xml:space="preserve">- De la force des corrélations inter-variables (des corrélations faibles accélèrent la dégradation) ;</w:t>
      </w:r>
      <w:r>
        <w:t xml:space="preserve"> </w:t>
      </w:r>
      <w:r>
        <w:t xml:space="preserve">- De la taille d’échantillon</w:t>
      </w:r>
      <w:r>
        <w:t xml:space="preserve"> </w:t>
      </w:r>
      <m:oMath>
        <m:r>
          <m:t>N</m:t>
        </m:r>
      </m:oMath>
      <w:r>
        <w:t xml:space="preserve"> </w:t>
      </w:r>
      <w:r>
        <w:t xml:space="preserve">(la malédiction de la dimension affecte les méthodes non paramétriques).</w:t>
      </w:r>
    </w:p>
    <w:p>
      <w:pPr>
        <w:pStyle w:val="BodyText"/>
      </w:pPr>
      <w:r>
        <w:t xml:space="preserve">Nous recommandons une</w:t>
      </w:r>
      <w:r>
        <w:t xml:space="preserve"> </w:t>
      </w:r>
      <w:r>
        <w:rPr>
          <w:b/>
          <w:bCs/>
        </w:rPr>
        <w:t xml:space="preserve">analyse de sensibilité systématique</w:t>
      </w:r>
      <w:r>
        <w:t xml:space="preserve"> </w:t>
      </w:r>
      <w:r>
        <w:t xml:space="preserve">lorsque le taux de données manquantes dépasse 30 % sous hypothèse MAR.</w:t>
      </w:r>
    </w:p>
    <w:bookmarkEnd w:id="43"/>
    <w:bookmarkStart w:id="44" w:name="Xa9d3f27f2524f22fef364fc371ff67c0f57e670"/>
    <w:p>
      <w:pPr>
        <w:pStyle w:val="Heading3"/>
      </w:pPr>
      <w:r>
        <w:t xml:space="preserve">Biais de variance et risque d’erreur de type I</w:t>
      </w:r>
    </w:p>
    <w:p>
      <w:pPr>
        <w:pStyle w:val="FirstParagraph"/>
      </w:pPr>
      <w:r>
        <w:t xml:space="preserve">Le ratio</w:t>
      </w:r>
      <w:r>
        <w:t xml:space="preserve"> </w:t>
      </w:r>
      <m:oMath>
        <m:sSub>
          <m:e>
            <m:r>
              <m:t>R</m:t>
            </m:r>
          </m:e>
          <m:sub>
            <m:r>
              <m:t>V</m:t>
            </m:r>
          </m:sub>
        </m:sSub>
      </m:oMath>
      <w:r>
        <w:t xml:space="preserve"> </w:t>
      </w:r>
      <w:r>
        <w:t xml:space="preserve">quantifie le risque de conclusions erronées dans les analyses ultérieures :</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m:oMath>
              <m:sSub>
                <m:e>
                  <m:r>
                    <m:t>R</m:t>
                  </m:r>
                </m:e>
                <m:sub>
                  <m:r>
                    <m:t>V</m:t>
                  </m:r>
                </m:sub>
              </m:sSub>
            </m:oMath>
            <w:r>
              <w:t xml:space="preserve">​</w:t>
            </w:r>
          </w:p>
        </w:tc>
        <w:tc>
          <w:tcPr/>
          <w:p>
            <w:pPr>
              <w:pStyle w:val="Compact"/>
            </w:pPr>
            <w:r>
              <w:t xml:space="preserve">Risque clinique</w:t>
            </w:r>
          </w:p>
        </w:tc>
      </w:tr>
      <w:tr>
        <w:tc>
          <w:tcPr/>
          <w:p>
            <w:pPr>
              <w:pStyle w:val="Compact"/>
            </w:pPr>
            <m:oMath>
              <m:r>
                <m:t>0</m:t>
              </m:r>
              <m:r>
                <m:rPr>
                  <m:sty m:val="p"/>
                </m:rPr>
                <m:t>,</m:t>
              </m:r>
              <m:r>
                <m:t>95</m:t>
              </m:r>
              <m:r>
                <m:rPr>
                  <m:sty m:val="p"/>
                </m:rPr>
                <m:t>≤</m:t>
              </m:r>
              <m:sSub>
                <m:e>
                  <m:r>
                    <m:t>R</m:t>
                  </m:r>
                </m:e>
                <m:sub>
                  <m:r>
                    <m:t>V</m:t>
                  </m:r>
                </m:sub>
              </m:sSub>
              <m:r>
                <m:rPr>
                  <m:sty m:val="p"/>
                </m:rPr>
                <m:t>≤</m:t>
              </m:r>
              <m:r>
                <m:t>1</m:t>
              </m:r>
              <m:r>
                <m:rPr>
                  <m:sty m:val="p"/>
                </m:rPr>
                <m:t>,</m:t>
              </m:r>
              <m:r>
                <m:t>05</m:t>
              </m:r>
            </m:oMath>
            <w:r>
              <w:t xml:space="preserve">​</w:t>
            </w:r>
          </w:p>
        </w:tc>
        <w:tc>
          <w:tcPr/>
          <w:p>
            <w:pPr>
              <w:pStyle w:val="Compact"/>
            </w:pPr>
            <w:r>
              <w:t xml:space="preserve">Négligeable</w:t>
            </w:r>
          </w:p>
        </w:tc>
      </w:tr>
      <w:tr>
        <w:tc>
          <w:tcPr/>
          <w:p>
            <w:pPr>
              <w:pStyle w:val="Compact"/>
            </w:pPr>
            <m:oMath>
              <m:r>
                <m:t>0</m:t>
              </m:r>
              <m:r>
                <m:rPr>
                  <m:sty m:val="p"/>
                </m:rPr>
                <m:t>,</m:t>
              </m:r>
              <m:r>
                <m:t>80</m:t>
              </m:r>
              <m:r>
                <m:rPr>
                  <m:sty m:val="p"/>
                </m:rPr>
                <m:t>≤</m:t>
              </m:r>
              <m:sSub>
                <m:e>
                  <m:r>
                    <m:t>R</m:t>
                  </m:r>
                </m:e>
                <m:sub>
                  <m:r>
                    <m:t>V</m:t>
                  </m:r>
                </m:sub>
              </m:sSub>
              <m:r>
                <m:rPr>
                  <m:sty m:val="p"/>
                </m:rPr>
                <m:t>&lt;</m:t>
              </m:r>
              <m:r>
                <m:t>0</m:t>
              </m:r>
              <m:r>
                <m:rPr>
                  <m:sty m:val="p"/>
                </m:rPr>
                <m:t>,</m:t>
              </m:r>
              <m:r>
                <m:t>95</m:t>
              </m:r>
            </m:oMath>
            <w:r>
              <w:t xml:space="preserve">​</w:t>
            </w:r>
          </w:p>
        </w:tc>
        <w:tc>
          <w:tcPr/>
          <w:p>
            <w:pPr>
              <w:pStyle w:val="Compact"/>
            </w:pPr>
            <w:r>
              <w:t xml:space="preserve">Modéré : IC sous-estimés,</w:t>
            </w:r>
            <w:r>
              <w:t xml:space="preserve"> </w:t>
            </w:r>
            <m:oMath>
              <m:r>
                <m:t>p</m:t>
              </m:r>
            </m:oMath>
            <w:r>
              <w:t xml:space="preserve">-valeurs artificiellement basses</w:t>
            </w:r>
          </w:p>
        </w:tc>
      </w:tr>
      <w:tr>
        <w:tc>
          <w:tcPr/>
          <w:p>
            <w:pPr>
              <w:pStyle w:val="Compact"/>
            </w:pPr>
            <m:oMath>
              <m:sSub>
                <m:e>
                  <m:r>
                    <m:t>R</m:t>
                  </m:r>
                </m:e>
                <m:sub>
                  <m:r>
                    <m:t>V</m:t>
                  </m:r>
                </m:sub>
              </m:sSub>
              <m:r>
                <m:rPr>
                  <m:sty m:val="p"/>
                </m:rPr>
                <m:t>&lt;</m:t>
              </m:r>
              <m:r>
                <m:t>0</m:t>
              </m:r>
              <m:r>
                <m:rPr>
                  <m:sty m:val="p"/>
                </m:rPr>
                <m:t>,</m:t>
              </m:r>
              <m:r>
                <m:t>80</m:t>
              </m:r>
            </m:oMath>
            <w:r>
              <w:t xml:space="preserve">​</w:t>
            </w:r>
          </w:p>
        </w:tc>
        <w:tc>
          <w:tcPr/>
          <w:p>
            <w:pPr>
              <w:pStyle w:val="Compact"/>
            </w:pPr>
            <w:r>
              <w:rPr>
                <w:b/>
                <w:bCs/>
              </w:rPr>
              <w:t xml:space="preserve">Sévère</w:t>
            </w:r>
            <w:r>
              <w:t xml:space="preserve"> </w:t>
            </w:r>
            <w:r>
              <w:t xml:space="preserve">: risque majeur de faux positifs</w:t>
            </w:r>
          </w:p>
        </w:tc>
      </w:tr>
      <w:tr>
        <w:tc>
          <w:tcPr/>
          <w:p>
            <w:pPr>
              <w:pStyle w:val="Compact"/>
            </w:pPr>
            <m:oMath>
              <m:sSub>
                <m:e>
                  <m:r>
                    <m:t>R</m:t>
                  </m:r>
                </m:e>
                <m:sub>
                  <m:r>
                    <m:t>V</m:t>
                  </m:r>
                </m:sub>
              </m:sSub>
              <m:r>
                <m:rPr>
                  <m:sty m:val="p"/>
                </m:rPr>
                <m:t>&gt;</m:t>
              </m:r>
              <m:r>
                <m:t>1</m:t>
              </m:r>
              <m:r>
                <m:rPr>
                  <m:sty m:val="p"/>
                </m:rPr>
                <m:t>,</m:t>
              </m:r>
              <m:r>
                <m:t>20</m:t>
              </m:r>
            </m:oMath>
            <w:r>
              <w:t xml:space="preserve">​</w:t>
            </w:r>
          </w:p>
        </w:tc>
        <w:tc>
          <w:tcPr/>
          <w:p>
            <w:pPr>
              <w:pStyle w:val="Compact"/>
            </w:pPr>
            <w:r>
              <w:rPr>
                <w:b/>
                <w:bCs/>
              </w:rPr>
              <w:t xml:space="preserve">Sévère</w:t>
            </w:r>
            <w:r>
              <w:t xml:space="preserve"> </w:t>
            </w:r>
            <w:r>
              <w:t xml:space="preserve">: risque majeur de faux négatifs</w:t>
            </w:r>
          </w:p>
        </w:tc>
      </w:tr>
    </w:tbl>
    <w:p>
      <w:pPr>
        <w:pStyle w:val="BodyText"/>
      </w:pPr>
      <w:r>
        <w:t xml:space="preserve">La Médiane/Mode atteint le seuil sévère dès 20 % de perte (</w:t>
      </w:r>
      <m:oMath>
        <m:sSub>
          <m:e>
            <m:r>
              <m:t>R</m:t>
            </m:r>
          </m:e>
          <m:sub>
            <m:r>
              <m:t>V</m:t>
            </m:r>
          </m:sub>
        </m:sSub>
        <m:r>
          <m:rPr>
            <m:sty m:val="p"/>
          </m:rPr>
          <m:t>=</m:t>
        </m:r>
        <m:r>
          <m:t>0</m:t>
        </m:r>
        <m:r>
          <m:rPr>
            <m:sty m:val="p"/>
          </m:rPr>
          <m:t>,</m:t>
        </m:r>
        <m:r>
          <m:t>812</m:t>
        </m:r>
      </m:oMath>
      <w:r>
        <w:t xml:space="preserve">), et est en situation critique à 40 % (</w:t>
      </w:r>
      <m:oMath>
        <m:sSub>
          <m:e>
            <m:r>
              <m:t>R</m:t>
            </m:r>
          </m:e>
          <m:sub>
            <m:r>
              <m:t>V</m:t>
            </m:r>
          </m:sub>
        </m:sSub>
        <m:r>
          <m:rPr>
            <m:sty m:val="p"/>
          </m:rPr>
          <m:t>=</m:t>
        </m:r>
        <m:r>
          <m:t>0</m:t>
        </m:r>
        <m:r>
          <m:rPr>
            <m:sty m:val="p"/>
          </m:rPr>
          <m:t>,</m:t>
        </m:r>
        <m:r>
          <m:t>620</m:t>
        </m:r>
      </m:oMath>
      <w:r>
        <w:t xml:space="preserve">). MissForest maintient un risque modéré à acceptable jusqu’à 20 % (</w:t>
      </w:r>
      <m:oMath>
        <m:sSub>
          <m:e>
            <m:r>
              <m:t>R</m:t>
            </m:r>
          </m:e>
          <m:sub>
            <m:r>
              <m:t>V</m:t>
            </m:r>
          </m:sub>
        </m:sSub>
        <m:r>
          <m:rPr>
            <m:sty m:val="p"/>
          </m:rPr>
          <m:t>=</m:t>
        </m:r>
        <m:r>
          <m:t>0</m:t>
        </m:r>
        <m:r>
          <m:rPr>
            <m:sty m:val="p"/>
          </m:rPr>
          <m:t>,</m:t>
        </m:r>
        <m:r>
          <m:t>922</m:t>
        </m:r>
      </m:oMath>
      <w:r>
        <w:t xml:space="preserve">) et un risque modéré à 40 % (</w:t>
      </w:r>
      <m:oMath>
        <m:sSub>
          <m:e>
            <m:r>
              <m:t>R</m:t>
            </m:r>
          </m:e>
          <m:sub>
            <m:r>
              <m:t>V</m:t>
            </m:r>
          </m:sub>
        </m:sSub>
        <m:r>
          <m:rPr>
            <m:sty m:val="p"/>
          </m:rPr>
          <m:t>=</m:t>
        </m:r>
        <m:r>
          <m:t>0</m:t>
        </m:r>
        <m:r>
          <m:rPr>
            <m:sty m:val="p"/>
          </m:rPr>
          <m:t>,</m:t>
        </m:r>
        <m:r>
          <m:t>824</m:t>
        </m:r>
      </m:oMath>
      <w:r>
        <w:t xml:space="preserve">).</w:t>
      </w:r>
    </w:p>
    <w:bookmarkEnd w:id="44"/>
    <w:bookmarkEnd w:id="45"/>
    <w:bookmarkStart w:id="46" w:name="implications-pour-la-recherche-clinique"/>
    <w:p>
      <w:pPr>
        <w:pStyle w:val="Heading2"/>
      </w:pPr>
      <w:r>
        <w:t xml:space="preserve">3.3 Implications pour la recherche clinique</w:t>
      </w:r>
    </w:p>
    <w:p>
      <w:pPr>
        <w:numPr>
          <w:ilvl w:val="0"/>
          <w:numId w:val="1004"/>
        </w:numPr>
      </w:pPr>
      <w:r>
        <w:rPr>
          <w:b/>
          <w:bCs/>
        </w:rPr>
        <w:t xml:space="preserve">Abandon de la Médiane/Mode comme pratique par défaut.</w:t>
      </w:r>
      <w:r>
        <w:t xml:space="preserve"> </w:t>
      </w:r>
      <w:r>
        <w:t xml:space="preserve">L’utilisation routinière de l’imputation par médiane/mode dans les analyses cliniques — encore largement répandue — expose à un risque documenté de distorsion distributionnelle et d’inflation du taux de faux positifs. Notre étude quantifie ce risque : à 40 % de perte, 89,7 % des variables continues présentent une distribution significativement altérée.</w:t>
      </w:r>
    </w:p>
    <w:p>
      <w:pPr>
        <w:numPr>
          <w:ilvl w:val="0"/>
          <w:numId w:val="1004"/>
        </w:numPr>
      </w:pPr>
      <w:r>
        <w:rPr>
          <w:b/>
          <w:bCs/>
        </w:rPr>
        <w:t xml:space="preserve">MissForest comme méthode de première intention.</w:t>
      </w:r>
      <w:r>
        <w:t xml:space="preserve"> </w:t>
      </w:r>
      <w:r>
        <w:t xml:space="preserve">Pour les bases de données cliniques caractérisées par des distributions asymétriques et des relations multivariées riches — ce qui est la norme en recherche cardiométabolique — MissForest constitue la méthode d’imputation recommandée.</w:t>
      </w:r>
    </w:p>
    <w:p>
      <w:pPr>
        <w:numPr>
          <w:ilvl w:val="0"/>
          <w:numId w:val="1004"/>
        </w:numPr>
      </w:pPr>
      <w:r>
        <w:rPr>
          <w:b/>
          <w:bCs/>
        </w:rPr>
        <w:t xml:space="preserve">Nécessité de l’imputation multiple.</w:t>
      </w:r>
      <w:r>
        <w:t xml:space="preserve"> </w:t>
      </w:r>
      <w:r>
        <w:t xml:space="preserve">Malgré la supériorité de MissForest, l’imputation simple (quel que soit l’algorithme) sous-estime l’incertitude car elle traite les valeurs imputées comme des observations réelles. L’idéal méthodologique reste l’imputation multiple (</w:t>
      </w:r>
      <m:oMath>
        <m:r>
          <m:t>M</m:t>
        </m:r>
        <m:r>
          <m:rPr>
            <m:sty m:val="p"/>
          </m:rPr>
          <m:t>≥</m:t>
        </m:r>
        <m:r>
          <m:t>5</m:t>
        </m:r>
      </m:oMath>
      <w:r>
        <w:t xml:space="preserve"> </w:t>
      </w:r>
      <w:r>
        <w:t xml:space="preserve">datasets) avec règles de Rubin pour la combinaison des inférences. Des implémentations de MissForest avec imputation multiple (missForest + bootstrap) sont un développement prioritaire.</w:t>
      </w:r>
    </w:p>
    <w:p>
      <w:pPr>
        <w:numPr>
          <w:ilvl w:val="0"/>
          <w:numId w:val="1004"/>
        </w:numPr>
      </w:pPr>
      <w:r>
        <w:rPr>
          <w:b/>
          <w:bCs/>
        </w:rPr>
        <w:t xml:space="preserve">Le seuil des 30-40 % comme zone d’alerte.</w:t>
      </w:r>
      <w:r>
        <w:t xml:space="preserve"> </w:t>
      </w:r>
      <w:r>
        <w:t xml:space="preserve">Au-delà de ce seuil, même MissForest montre des signes de dégradation significative. L’exclusion des variables les plus affectées ou le recours à des modèles de sélection (Heckman, pattern-mixture) doit être envisagé.</w:t>
      </w:r>
    </w:p>
    <w:bookmarkEnd w:id="46"/>
    <w:bookmarkStart w:id="47" w:name="limitations-de-létude"/>
    <w:p>
      <w:pPr>
        <w:pStyle w:val="Heading2"/>
      </w:pPr>
      <w:r>
        <w:t xml:space="preserve">3.4 Limitations de l’étude</w:t>
      </w:r>
    </w:p>
    <w:p>
      <w:pPr>
        <w:numPr>
          <w:ilvl w:val="0"/>
          <w:numId w:val="1005"/>
        </w:numPr>
      </w:pPr>
      <w:r>
        <w:rPr>
          <w:b/>
          <w:bCs/>
        </w:rPr>
        <w:t xml:space="preserve">Taille d’échantillon Monte Carlo.</w:t>
      </w:r>
      <w:r>
        <w:t xml:space="preserve"> </w:t>
      </w:r>
      <w:r>
        <w:t xml:space="preserve">Les</w:t>
      </w:r>
      <w:r>
        <w:t xml:space="preserve"> </w:t>
      </w:r>
      <m:oMath>
        <m:r>
          <m:t>M</m:t>
        </m:r>
        <m:r>
          <m:rPr>
            <m:sty m:val="p"/>
          </m:rPr>
          <m:t>=</m:t>
        </m:r>
        <m:r>
          <m:t>5</m:t>
        </m:r>
      </m:oMath>
      <w:r>
        <w:t xml:space="preserve"> </w:t>
      </w:r>
      <w:r>
        <w:t xml:space="preserve">répétitions utilisées ici fournissent des estimations ponctuelles, mais</w:t>
      </w:r>
      <w:r>
        <w:t xml:space="preserve"> </w:t>
      </w:r>
      <m:oMath>
        <m:r>
          <m:t>M</m:t>
        </m:r>
        <m:r>
          <m:rPr>
            <m:sty m:val="p"/>
          </m:rPr>
          <m:t>≥</m:t>
        </m:r>
        <m:r>
          <m:t>100</m:t>
        </m:r>
      </m:oMath>
      <w:r>
        <w:t xml:space="preserve"> </w:t>
      </w:r>
      <w:r>
        <w:t xml:space="preserve">serait nécessaire pour des intervalles de confiance robustes. Le code source est paramétré pour permettre cette montée en charge.</w:t>
      </w:r>
    </w:p>
    <w:p>
      <w:pPr>
        <w:numPr>
          <w:ilvl w:val="0"/>
          <w:numId w:val="1005"/>
        </w:numPr>
      </w:pPr>
      <w:r>
        <w:rPr>
          <w:b/>
          <w:bCs/>
        </w:rPr>
        <w:t xml:space="preserve">Mécanisme MNAR non exécuté.</w:t>
      </w:r>
      <w:r>
        <w:t xml:space="preserve"> </w:t>
      </w:r>
      <w:r>
        <w:t xml:space="preserve">Bien qu’implémenté dans le code, le scénario MNAR n’a pas été exécuté dans cette version. Le MNAR représente pourtant le scénario le plus réaliste et le plus problématique en clinique (les patients les plus sévères sont plus susceptibles d’avoir des données manquantes). Son inclusion dans une version future est essentielle.</w:t>
      </w:r>
    </w:p>
    <w:p>
      <w:pPr>
        <w:numPr>
          <w:ilvl w:val="0"/>
          <w:numId w:val="1005"/>
        </w:numPr>
      </w:pPr>
      <w:r>
        <w:rPr>
          <w:b/>
          <w:bCs/>
        </w:rPr>
        <w:t xml:space="preserve">Une seule base de données.</w:t>
      </w:r>
      <w:r>
        <w:t xml:space="preserve"> </w:t>
      </w:r>
      <w:r>
        <w:t xml:space="preserve">Les résultats sont conditionnés à la structure de corrélation spécifique de notre cohorte cardiométabolique. Une validation externe sur des bases indépendantes est nécessaire pour établir la généralisabilité.</w:t>
      </w:r>
    </w:p>
    <w:p>
      <w:pPr>
        <w:numPr>
          <w:ilvl w:val="0"/>
          <w:numId w:val="1005"/>
        </w:numPr>
      </w:pPr>
      <w:r>
        <w:rPr>
          <w:b/>
          <w:bCs/>
        </w:rPr>
        <w:t xml:space="preserve">Implémentation MICE sous-optimale.</w:t>
      </w:r>
      <w:r>
        <w:t xml:space="preserve"> </w:t>
      </w:r>
      <w:r>
        <w:t xml:space="preserve">L’estimateur BayesianRidge de scikit-learn est une implémentation simplifiée de MICE. Des implémentations plus sophistiquées (miceforest avec LightGBM, MICE avec modèles de mélange) pourraient améliorer les performances de cette famille de méthodes.</w:t>
      </w:r>
    </w:p>
    <w:p>
      <w:pPr>
        <w:numPr>
          <w:ilvl w:val="0"/>
          <w:numId w:val="1005"/>
        </w:numPr>
      </w:pPr>
      <w:r>
        <w:rPr>
          <w:b/>
          <w:bCs/>
        </w:rPr>
        <w:t xml:space="preserve">Absence de validation clinique externe.</w:t>
      </w:r>
      <w:r>
        <w:t xml:space="preserve"> </w:t>
      </w:r>
      <w:r>
        <w:t xml:space="preserve">Les métriques de reconstruction (RMSE, F1) évaluent la fidélité statistique, mais pas l’impact réel sur les décisions médicales. Une étude de simulation clinique avec évaluation de l’impact sur les recommandations thérapeutiques serait un complément précieux.</w:t>
      </w:r>
    </w:p>
    <w:p>
      <w:r>
        <w:pict>
          <v:rect style="width:0;height:1.5pt" o:hralign="center" o:hrstd="t" o:hr="t"/>
        </w:pict>
      </w:r>
    </w:p>
    <w:bookmarkEnd w:id="47"/>
    <w:bookmarkEnd w:id="48"/>
    <w:bookmarkStart w:id="51" w:name="section-4-recommandations-cliniques"/>
    <w:p>
      <w:pPr>
        <w:pStyle w:val="Heading1"/>
      </w:pPr>
      <w:r>
        <w:t xml:space="preserve">SECTION 4 : RECOMMANDATIONS CLINIQUES</w:t>
      </w:r>
    </w:p>
    <w:bookmarkStart w:id="49" w:name="Xcba2be1da25bd0917fa4e546f2e010673c478e1"/>
    <w:p>
      <w:pPr>
        <w:pStyle w:val="Heading2"/>
      </w:pPr>
      <w:r>
        <w:t xml:space="preserve">4.1 Arbre décisionnel pour l’imputation en recherche clinique</w:t>
      </w:r>
    </w:p>
    <w:p>
      <w:pPr>
        <w:pStyle w:val="SourceCode"/>
      </w:pPr>
      <w:r>
        <w:rPr>
          <w:rStyle w:val="VerbatimChar"/>
        </w:rPr>
        <w:t xml:space="preserve">TAUX DE DONNÉES MANQUANTES ?</w:t>
      </w:r>
      <w:r>
        <w:br/>
      </w:r>
      <w:r>
        <w:rPr>
          <w:rStyle w:val="VerbatimChar"/>
        </w:rPr>
        <w:t xml:space="preserve">│</w:t>
      </w:r>
      <w:r>
        <w:br/>
      </w:r>
      <w:r>
        <w:rPr>
          <w:rStyle w:val="VerbatimChar"/>
        </w:rPr>
        <w:t xml:space="preserve">├── &lt; 5% par variable</w:t>
      </w:r>
      <w:r>
        <w:br/>
      </w:r>
      <w:r>
        <w:rPr>
          <w:rStyle w:val="VerbatimChar"/>
        </w:rPr>
        <w:t xml:space="preserve">│   └── Analyse complète (complete-case) acceptable</w:t>
      </w:r>
      <w:r>
        <w:br/>
      </w:r>
      <w:r>
        <w:rPr>
          <w:rStyle w:val="VerbatimChar"/>
        </w:rPr>
        <w:t xml:space="preserve">│       si N &gt; 30 et MCAR plausible.</w:t>
      </w:r>
      <w:r>
        <w:br/>
      </w:r>
      <w:r>
        <w:rPr>
          <w:rStyle w:val="VerbatimChar"/>
        </w:rPr>
        <w:t xml:space="preserve">│</w:t>
      </w:r>
      <w:r>
        <w:br/>
      </w:r>
      <w:r>
        <w:rPr>
          <w:rStyle w:val="VerbatimChar"/>
        </w:rPr>
        <w:t xml:space="preserve">├── 5–15% par variable</w:t>
      </w:r>
      <w:r>
        <w:br/>
      </w:r>
      <w:r>
        <w:rPr>
          <w:rStyle w:val="VerbatimChar"/>
        </w:rPr>
        <w:t xml:space="preserve">│   ├── Variables continues → MissForest (recommandé)</w:t>
      </w:r>
      <w:r>
        <w:br/>
      </w:r>
      <w:r>
        <w:rPr>
          <w:rStyle w:val="VerbatimChar"/>
        </w:rPr>
        <w:t xml:space="preserve">│   ├── Variables binaires/ordinales → MissForest</w:t>
      </w:r>
      <w:r>
        <w:br/>
      </w:r>
      <w:r>
        <w:rPr>
          <w:rStyle w:val="VerbatimChar"/>
        </w:rPr>
        <w:t xml:space="preserve">│   └── Variables constantes → Médiane/Mode</w:t>
      </w:r>
      <w:r>
        <w:br/>
      </w:r>
      <w:r>
        <w:rPr>
          <w:rStyle w:val="VerbatimChar"/>
        </w:rPr>
        <w:t xml:space="preserve">│</w:t>
      </w:r>
      <w:r>
        <w:br/>
      </w:r>
      <w:r>
        <w:rPr>
          <w:rStyle w:val="VerbatimChar"/>
        </w:rPr>
        <w:t xml:space="preserve">├── 15–30% par variable</w:t>
      </w:r>
      <w:r>
        <w:br/>
      </w:r>
      <w:r>
        <w:rPr>
          <w:rStyle w:val="VerbatimChar"/>
        </w:rPr>
        <w:t xml:space="preserve">│   ├── MissForest + Imputation Multiple (M ≥ 5)</w:t>
      </w:r>
      <w:r>
        <w:br/>
      </w:r>
      <w:r>
        <w:rPr>
          <w:rStyle w:val="VerbatimChar"/>
        </w:rPr>
        <w:t xml:space="preserve">│   ├── Analyse de sensibilité OBLIGATOIRE</w:t>
      </w:r>
      <w:r>
        <w:br/>
      </w:r>
      <w:r>
        <w:rPr>
          <w:rStyle w:val="VerbatimChar"/>
        </w:rPr>
        <w:t xml:space="preserve">│   └── Comparer résultats avec/sans imputation</w:t>
      </w:r>
      <w:r>
        <w:br/>
      </w:r>
      <w:r>
        <w:rPr>
          <w:rStyle w:val="VerbatimChar"/>
        </w:rPr>
        <w:t xml:space="preserve">│</w:t>
      </w:r>
      <w:r>
        <w:br/>
      </w:r>
      <w:r>
        <w:rPr>
          <w:rStyle w:val="VerbatimChar"/>
        </w:rPr>
        <w:t xml:space="preserve">└── &gt; 30% par variable → ⚠ ZONE D'ALERTE ⚠</w:t>
      </w:r>
      <w:r>
        <w:br/>
      </w:r>
      <w:r>
        <w:rPr>
          <w:rStyle w:val="VerbatimChar"/>
        </w:rPr>
        <w:t xml:space="preserve">    ├── MissForest + Imputation Multiple</w:t>
      </w:r>
      <w:r>
        <w:br/>
      </w:r>
      <w:r>
        <w:rPr>
          <w:rStyle w:val="VerbatimChar"/>
        </w:rPr>
        <w:t xml:space="preserve">    ├── Analyse de sensibilité obligatoire</w:t>
      </w:r>
      <w:r>
        <w:br/>
      </w:r>
      <w:r>
        <w:rPr>
          <w:rStyle w:val="VerbatimChar"/>
        </w:rPr>
        <w:t xml:space="preserve">    ├── Exclusion si &gt; 40% pour une variable donnée</w:t>
      </w:r>
      <w:r>
        <w:br/>
      </w:r>
      <w:r>
        <w:rPr>
          <w:rStyle w:val="VerbatimChar"/>
        </w:rPr>
        <w:t xml:space="preserve">    └── Modèles de sélection si MNAR suspecté</w:t>
      </w:r>
    </w:p>
    <w:bookmarkEnd w:id="49"/>
    <w:bookmarkStart w:id="50" w:name="tableau-synthétique-des-recommandations"/>
    <w:p>
      <w:pPr>
        <w:pStyle w:val="Heading2"/>
      </w:pPr>
      <w:r>
        <w:t xml:space="preserve">4.2 Tableau synthétique des recommandations</w:t>
      </w:r>
    </w:p>
    <w:tbl>
      <w:tblPr>
        <w:tblStyle w:val="Table"/>
        <w:tblW w:type="pct" w:w="5000"/>
        <w:tblLayout w:type="fixed"/>
        <w:tblLook w:firstRow="1" w:lastRow="0" w:firstColumn="0" w:lastColumn="0" w:noHBand="0" w:noVBand="0" w:val="0020"/>
      </w:tblPr>
      <w:tblGrid>
        <w:gridCol w:w="1672"/>
        <w:gridCol w:w="1496"/>
        <w:gridCol w:w="1672"/>
        <w:gridCol w:w="1760"/>
        <w:gridCol w:w="1320"/>
      </w:tblGrid>
      <w:tr>
        <w:trPr>
          <w:tblHeader w:val="on"/>
        </w:trPr>
        <w:tc>
          <w:tcPr/>
          <w:p>
            <w:pPr>
              <w:pStyle w:val="Compact"/>
            </w:pPr>
            <w:r>
              <w:t xml:space="preserve">Situation clinique</w:t>
            </w:r>
          </w:p>
        </w:tc>
        <w:tc>
          <w:tcPr/>
          <w:p>
            <w:pPr>
              <w:pStyle w:val="Compact"/>
            </w:pPr>
            <w:r>
              <w:t xml:space="preserve">Type de variable</w:t>
            </w:r>
          </w:p>
        </w:tc>
        <w:tc>
          <w:tcPr/>
          <w:p>
            <w:pPr>
              <w:pStyle w:val="Compact"/>
            </w:pPr>
            <w:r>
              <w:t xml:space="preserve">Taux de manquants</w:t>
            </w:r>
          </w:p>
        </w:tc>
        <w:tc>
          <w:tcPr/>
          <w:p>
            <w:pPr>
              <w:pStyle w:val="Compact"/>
            </w:pPr>
            <w:r>
              <w:t xml:space="preserve">Méthode recommandée</w:t>
            </w:r>
          </w:p>
        </w:tc>
        <w:tc>
          <w:tcPr/>
          <w:p>
            <w:pPr>
              <w:pStyle w:val="Compact"/>
            </w:pPr>
            <w:r>
              <w:t xml:space="preserve">Justification</w:t>
            </w:r>
          </w:p>
        </w:tc>
      </w:tr>
      <w:tr>
        <w:tc>
          <w:tcPr/>
          <w:p>
            <w:pPr>
              <w:pStyle w:val="Compact"/>
            </w:pPr>
            <w:r>
              <w:t xml:space="preserve">Bilan lipidique</w:t>
            </w:r>
          </w:p>
        </w:tc>
        <w:tc>
          <w:tcPr/>
          <w:p>
            <w:pPr>
              <w:pStyle w:val="Compact"/>
            </w:pPr>
            <w:r>
              <w:t xml:space="preserve">Continue asymétrique</w:t>
            </w:r>
          </w:p>
        </w:tc>
        <w:tc>
          <w:tcPr/>
          <w:p>
            <w:pPr>
              <w:pStyle w:val="Compact"/>
            </w:pPr>
            <w:r>
              <w:t xml:space="preserve">&lt; 15 %</w:t>
            </w:r>
          </w:p>
        </w:tc>
        <w:tc>
          <w:tcPr/>
          <w:p>
            <w:pPr>
              <w:pStyle w:val="Compact"/>
            </w:pPr>
            <w:r>
              <w:rPr>
                <w:b/>
                <w:bCs/>
              </w:rPr>
              <w:t xml:space="preserve">MissForest</w:t>
            </w:r>
          </w:p>
        </w:tc>
        <w:tc>
          <w:tcPr/>
          <w:p>
            <w:pPr>
              <w:pStyle w:val="Compact"/>
            </w:pPr>
            <w:r>
              <w:t xml:space="preserve">RMSE 2,1× inférieur à Médiane/Mode</w:t>
            </w:r>
          </w:p>
        </w:tc>
      </w:tr>
      <w:tr>
        <w:tc>
          <w:tcPr/>
          <w:p>
            <w:pPr>
              <w:pStyle w:val="Compact"/>
            </w:pPr>
            <w:r>
              <w:t xml:space="preserve">Pression artérielle</w:t>
            </w:r>
          </w:p>
        </w:tc>
        <w:tc>
          <w:tcPr/>
          <w:p>
            <w:pPr>
              <w:pStyle w:val="Compact"/>
            </w:pPr>
            <w:r>
              <w:t xml:space="preserve">Continue quasi-normale</w:t>
            </w:r>
          </w:p>
        </w:tc>
        <w:tc>
          <w:tcPr/>
          <w:p>
            <w:pPr>
              <w:pStyle w:val="Compact"/>
            </w:pPr>
            <w:r>
              <w:t xml:space="preserve">&lt; 15 %</w:t>
            </w:r>
          </w:p>
        </w:tc>
        <w:tc>
          <w:tcPr/>
          <w:p>
            <w:pPr>
              <w:pStyle w:val="Compact"/>
            </w:pPr>
            <w:r>
              <w:t xml:space="preserve">MICE ou MissForest</w:t>
            </w:r>
          </w:p>
        </w:tc>
        <w:tc>
          <w:tcPr/>
          <w:p>
            <w:pPr>
              <w:pStyle w:val="Compact"/>
            </w:pPr>
            <w:r>
              <w:t xml:space="preserve">MICE acceptable si distribution gaussienne</w:t>
            </w:r>
          </w:p>
        </w:tc>
      </w:tr>
      <w:tr>
        <w:tc>
          <w:tcPr/>
          <w:p>
            <w:pPr>
              <w:pStyle w:val="Compact"/>
            </w:pPr>
            <w:r>
              <w:t xml:space="preserve">Diagnostic HTA</w:t>
            </w:r>
          </w:p>
        </w:tc>
        <w:tc>
          <w:tcPr/>
          <w:p>
            <w:pPr>
              <w:pStyle w:val="Compact"/>
            </w:pPr>
            <w:r>
              <w:t xml:space="preserve">Binaire</w:t>
            </w:r>
          </w:p>
        </w:tc>
        <w:tc>
          <w:tcPr/>
          <w:p>
            <w:pPr>
              <w:pStyle w:val="Compact"/>
            </w:pPr>
            <w:r>
              <w:t xml:space="preserve">&lt; 15 %</w:t>
            </w:r>
          </w:p>
        </w:tc>
        <w:tc>
          <w:tcPr/>
          <w:p>
            <w:pPr>
              <w:pStyle w:val="Compact"/>
            </w:pPr>
            <w:r>
              <w:rPr>
                <w:b/>
                <w:bCs/>
              </w:rPr>
              <w:t xml:space="preserve">MissForest</w:t>
            </w:r>
          </w:p>
        </w:tc>
        <w:tc>
          <w:tcPr/>
          <w:p>
            <w:pPr>
              <w:pStyle w:val="Compact"/>
            </w:pPr>
            <w:r>
              <w:t xml:space="preserve">F1 = 0,73 vs 0,47 (Médiane/Mode)</w:t>
            </w:r>
          </w:p>
        </w:tc>
      </w:tr>
      <w:tr>
        <w:tc>
          <w:tcPr/>
          <w:p>
            <w:pPr>
              <w:pStyle w:val="Compact"/>
            </w:pPr>
            <w:r>
              <w:t xml:space="preserve">Profil glycémique</w:t>
            </w:r>
          </w:p>
        </w:tc>
        <w:tc>
          <w:tcPr/>
          <w:p>
            <w:pPr>
              <w:pStyle w:val="Compact"/>
            </w:pPr>
            <w:r>
              <w:t xml:space="preserve">Ordinale (4 classes)</w:t>
            </w:r>
          </w:p>
        </w:tc>
        <w:tc>
          <w:tcPr/>
          <w:p>
            <w:pPr>
              <w:pStyle w:val="Compact"/>
            </w:pPr>
            <w:r>
              <w:t xml:space="preserve">Tout taux</w:t>
            </w:r>
          </w:p>
        </w:tc>
        <w:tc>
          <w:tcPr/>
          <w:p>
            <w:pPr>
              <w:pStyle w:val="Compact"/>
            </w:pPr>
            <w:r>
              <w:rPr>
                <w:b/>
                <w:bCs/>
              </w:rPr>
              <w:t xml:space="preserve">MissForest</w:t>
            </w:r>
          </w:p>
        </w:tc>
        <w:tc>
          <w:tcPr/>
          <w:p>
            <w:pPr>
              <w:pStyle w:val="Compact"/>
            </w:pPr>
            <m:oMath>
              <m:r>
                <m:t>κ</m:t>
              </m:r>
            </m:oMath>
            <w:r>
              <w:t xml:space="preserve"> </w:t>
            </w:r>
            <w:r>
              <w:t xml:space="preserve">= 0,77, vs 0,00 (Médiane/Mode)</w:t>
            </w:r>
          </w:p>
        </w:tc>
      </w:tr>
      <w:tr>
        <w:tc>
          <w:tcPr/>
          <w:p>
            <w:pPr>
              <w:pStyle w:val="Compact"/>
            </w:pPr>
            <w:r>
              <w:t xml:space="preserve">Posologies médicamenteuses</w:t>
            </w:r>
          </w:p>
        </w:tc>
        <w:tc>
          <w:tcPr/>
          <w:p>
            <w:pPr>
              <w:pStyle w:val="Compact"/>
            </w:pPr>
            <w:r>
              <w:t xml:space="preserve">Continue avec zéros</w:t>
            </w:r>
          </w:p>
        </w:tc>
        <w:tc>
          <w:tcPr/>
          <w:p>
            <w:pPr>
              <w:pStyle w:val="Compact"/>
            </w:pPr>
            <w:r>
              <w:t xml:space="preserve">&lt; 20 %</w:t>
            </w:r>
          </w:p>
        </w:tc>
        <w:tc>
          <w:tcPr/>
          <w:p>
            <w:pPr>
              <w:pStyle w:val="Compact"/>
            </w:pPr>
            <w:r>
              <w:rPr>
                <w:b/>
                <w:bCs/>
              </w:rPr>
              <w:t xml:space="preserve">MissForest</w:t>
            </w:r>
          </w:p>
        </w:tc>
        <w:tc>
          <w:tcPr/>
          <w:p>
            <w:pPr>
              <w:pStyle w:val="Compact"/>
            </w:pPr>
            <w:r>
              <w:t xml:space="preserve">Gère la semi-continuité (effet de masse à zéro)</w:t>
            </w:r>
          </w:p>
        </w:tc>
      </w:tr>
      <w:tr>
        <w:tc>
          <w:tcPr/>
          <w:p>
            <w:pPr>
              <w:pStyle w:val="Compact"/>
            </w:pPr>
            <w:r>
              <w:t xml:space="preserve">Toute variable</w:t>
            </w:r>
          </w:p>
        </w:tc>
        <w:tc>
          <w:tcPr/>
          <w:p>
            <w:pPr>
              <w:pStyle w:val="Compact"/>
            </w:pPr>
            <w:r>
              <w:t xml:space="preserve">Tout type</w:t>
            </w:r>
          </w:p>
        </w:tc>
        <w:tc>
          <w:tcPr/>
          <w:p>
            <w:pPr>
              <w:pStyle w:val="Compact"/>
            </w:pPr>
            <w:r>
              <w:t xml:space="preserve">&gt; 30 %</w:t>
            </w:r>
          </w:p>
        </w:tc>
        <w:tc>
          <w:tcPr/>
          <w:p>
            <w:pPr>
              <w:pStyle w:val="Compact"/>
            </w:pPr>
            <w:r>
              <w:t xml:space="preserve">MissForest + Imputation Multiple + Sensibilité</w:t>
            </w:r>
          </w:p>
        </w:tc>
        <w:tc>
          <w:tcPr/>
          <w:p>
            <w:pPr>
              <w:pStyle w:val="Compact"/>
            </w:pPr>
            <w:r>
              <w:t xml:space="preserve">Zone d’alerte : valider les conclusions</w:t>
            </w:r>
          </w:p>
        </w:tc>
      </w:tr>
      <w:tr>
        <w:tc>
          <w:tcPr/>
          <w:p>
            <w:pPr>
              <w:pStyle w:val="Compact"/>
            </w:pPr>
            <w:r>
              <w:t xml:space="preserve">Variables constantes</w:t>
            </w:r>
          </w:p>
        </w:tc>
        <w:tc>
          <w:tcPr/>
          <w:p>
            <w:pPr>
              <w:pStyle w:val="Compact"/>
            </w:pPr>
            <w:r>
              <w:t xml:space="preserve">Continue (variance nulle)</w:t>
            </w:r>
          </w:p>
        </w:tc>
        <w:tc>
          <w:tcPr/>
          <w:p>
            <w:pPr>
              <w:pStyle w:val="Compact"/>
            </w:pPr>
            <w:r>
              <w:t xml:space="preserve">Tout taux</w:t>
            </w:r>
          </w:p>
        </w:tc>
        <w:tc>
          <w:tcPr/>
          <w:p>
            <w:pPr>
              <w:pStyle w:val="Compact"/>
            </w:pPr>
            <w:r>
              <w:rPr>
                <w:b/>
                <w:bCs/>
              </w:rPr>
              <w:t xml:space="preserve">Médiane/Mode</w:t>
            </w:r>
          </w:p>
        </w:tc>
        <w:tc>
          <w:tcPr/>
          <w:p>
            <w:pPr>
              <w:pStyle w:val="Compact"/>
            </w:pPr>
            <w:r>
              <w:t xml:space="preserve">Les méthodes multivariées introduisent du bruit artificiel</w:t>
            </w:r>
          </w:p>
        </w:tc>
      </w:tr>
      <w:tr>
        <w:tc>
          <w:tcPr/>
          <w:p>
            <w:pPr>
              <w:pStyle w:val="Compact"/>
            </w:pPr>
            <w:r>
              <w:t xml:space="preserve">Grande base (</w:t>
            </w:r>
            <m:oMath>
              <m:r>
                <m:t>N</m:t>
              </m:r>
              <m:r>
                <m:rPr>
                  <m:sty m:val="p"/>
                </m:rPr>
                <m:t>&gt;</m:t>
              </m:r>
              <m:sSup>
                <m:e>
                  <m:r>
                    <m:t>10</m:t>
                  </m:r>
                </m:e>
                <m:sup>
                  <m:r>
                    <m:t>5</m:t>
                  </m:r>
                </m:sup>
              </m:sSup>
            </m:oMath>
            <w:r>
              <w:t xml:space="preserve">)</w:t>
            </w:r>
          </w:p>
        </w:tc>
        <w:tc>
          <w:tcPr/>
          <w:p>
            <w:pPr>
              <w:pStyle w:val="Compact"/>
            </w:pPr>
            <w:r>
              <w:t xml:space="preserve">Tout type</w:t>
            </w:r>
          </w:p>
        </w:tc>
        <w:tc>
          <w:tcPr/>
          <w:p>
            <w:pPr>
              <w:pStyle w:val="Compact"/>
            </w:pPr>
            <w:r>
              <w:t xml:space="preserve">&lt; 15 %</w:t>
            </w:r>
          </w:p>
        </w:tc>
        <w:tc>
          <w:tcPr/>
          <w:p>
            <w:pPr>
              <w:pStyle w:val="Compact"/>
            </w:pPr>
            <w:r>
              <w:t xml:space="preserve">KNN ou MICE rapide</w:t>
            </w:r>
          </w:p>
        </w:tc>
        <w:tc>
          <w:tcPr/>
          <w:p>
            <w:pPr>
              <w:pStyle w:val="Compact"/>
            </w:pPr>
            <w:r>
              <w:t xml:space="preserve">Compromis performance/précision si temps critique</w:t>
            </w:r>
          </w:p>
        </w:tc>
      </w:tr>
    </w:tbl>
    <w:p>
      <w:r>
        <w:pict>
          <v:rect style="width:0;height:1.5pt" o:hralign="center" o:hrstd="t" o:hr="t"/>
        </w:pict>
      </w:r>
    </w:p>
    <w:bookmarkEnd w:id="50"/>
    <w:bookmarkEnd w:id="51"/>
    <w:bookmarkStart w:id="52" w:name="section-5-conclusion"/>
    <w:p>
      <w:pPr>
        <w:pStyle w:val="Heading1"/>
      </w:pPr>
      <w:r>
        <w:t xml:space="preserve">SECTION 5 : CONCLUSION</w:t>
      </w:r>
    </w:p>
    <w:p>
      <w:pPr>
        <w:pStyle w:val="FirstParagraph"/>
      </w:pPr>
      <w:r>
        <w:t xml:space="preserve">Cette étude de simulation Monte Carlo, menée sur une base clinique cardiométabolique de 312 patients et 33 variables, établit les conclusions suivantes :</w:t>
      </w:r>
    </w:p>
    <w:p>
      <w:pPr>
        <w:numPr>
          <w:ilvl w:val="0"/>
          <w:numId w:val="1006"/>
        </w:numPr>
      </w:pPr>
      <w:r>
        <w:rPr>
          <w:b/>
          <w:bCs/>
        </w:rPr>
        <w:t xml:space="preserve">MissForest est la méthode d’imputation la plus performante</w:t>
      </w:r>
      <w:r>
        <w:t xml:space="preserve"> </w:t>
      </w:r>
      <w:r>
        <w:t xml:space="preserve">pour les données cliniques caractérisées par des distributions asymétriques et des relations multivariées non linéaires. Sa supériorité est statistiquement significative (Friedman</w:t>
      </w:r>
      <w:r>
        <w:t xml:space="preserve"> </w:t>
      </w:r>
      <m:oMath>
        <m:r>
          <m:t>p</m:t>
        </m:r>
        <m:r>
          <m:rPr>
            <m:sty m:val="p"/>
          </m:rPr>
          <m:t>&lt;</m:t>
        </m:r>
        <m:sSup>
          <m:e>
            <m:r>
              <m:t>10</m:t>
            </m:r>
          </m:e>
          <m:sup>
            <m:r>
              <m:rPr>
                <m:sty m:val="p"/>
              </m:rPr>
              <m:t>−</m:t>
            </m:r>
            <m:r>
              <m:t>5</m:t>
            </m:r>
          </m:sup>
        </m:sSup>
      </m:oMath>
      <w:r>
        <w:t xml:space="preserve">) et cliniquement pertinente, avec un RMSE réduit de 47 % par rapport à la Médiane/Mode et un F1 catégoriel amélioré de 56 % à 40 % de perte MCAR.</w:t>
      </w:r>
    </w:p>
    <w:p>
      <w:pPr>
        <w:numPr>
          <w:ilvl w:val="0"/>
          <w:numId w:val="1006"/>
        </w:numPr>
      </w:pPr>
      <w:r>
        <w:rPr>
          <w:b/>
          <w:bCs/>
        </w:rPr>
        <w:t xml:space="preserve">Le mécanisme de manquance MAR dégrade davantage les performances que le MCAR</w:t>
      </w:r>
      <w:r>
        <w:t xml:space="preserve">, avec un différentiel de +58,9 % de RMSE pour MissForest à 40 % de perte. Le seuil MAR 40 % constitue une zone où les méthodes multivariées perdent leur avantage sur la médiane.</w:t>
      </w:r>
    </w:p>
    <w:p>
      <w:pPr>
        <w:numPr>
          <w:ilvl w:val="0"/>
          <w:numId w:val="1006"/>
        </w:numPr>
      </w:pPr>
      <w:r>
        <w:rPr>
          <w:b/>
          <w:bCs/>
        </w:rPr>
        <w:t xml:space="preserve">L’imputation par médiane/mode doit être abandonnée</w:t>
      </w:r>
      <w:r>
        <w:t xml:space="preserve"> </w:t>
      </w:r>
      <w:r>
        <w:t xml:space="preserve">comme pratique par défaut en recherche clinique. Son utilisation expose à un effondrement de la variance (</w:t>
      </w:r>
      <m:oMath>
        <m:sSub>
          <m:e>
            <m:r>
              <m:t>R</m:t>
            </m:r>
          </m:e>
          <m:sub>
            <m:r>
              <m:t>V</m:t>
            </m:r>
          </m:sub>
        </m:sSub>
        <m:r>
          <m:rPr>
            <m:sty m:val="p"/>
          </m:rPr>
          <m:t>=</m:t>
        </m:r>
        <m:r>
          <m:t>0</m:t>
        </m:r>
        <m:r>
          <m:rPr>
            <m:sty m:val="p"/>
          </m:rPr>
          <m:t>,</m:t>
        </m:r>
        <m:r>
          <m:t>62</m:t>
        </m:r>
      </m:oMath>
      <w:r>
        <w:t xml:space="preserve"> </w:t>
      </w:r>
      <w:r>
        <w:t xml:space="preserve">à 40 % MCAR), induisant un risque majeur de faux positifs dans les analyses inférentielles ultérieures.</w:t>
      </w:r>
    </w:p>
    <w:p>
      <w:pPr>
        <w:numPr>
          <w:ilvl w:val="0"/>
          <w:numId w:val="1006"/>
        </w:numPr>
      </w:pPr>
      <w:r>
        <w:rPr>
          <w:b/>
          <w:bCs/>
        </w:rPr>
        <w:t xml:space="preserve">L’impact sur les modèles cliniques est substantiel</w:t>
      </w:r>
      <w:r>
        <w:t xml:space="preserve"> </w:t>
      </w:r>
      <w:r>
        <w:t xml:space="preserve">: le biais sur les coefficients de régression logistique est réduit de 40 % avec MissForest par rapport à la Médiane/Mode, et l’accuracy de classification de l’hypertension atteint 95,8 %.</w:t>
      </w:r>
    </w:p>
    <w:p>
      <w:pPr>
        <w:numPr>
          <w:ilvl w:val="0"/>
          <w:numId w:val="1006"/>
        </w:numPr>
      </w:pPr>
      <w:r>
        <w:rPr>
          <w:b/>
          <w:bCs/>
        </w:rPr>
        <w:t xml:space="preserve">Le coût computationnel de MissForest</w:t>
      </w:r>
      <w:r>
        <w:t xml:space="preserve"> </w:t>
      </w:r>
      <w:r>
        <w:t xml:space="preserve">(×6 600 par rapport à la Médiane/Mode) limite son application aux grandes bases, mais reste proportionné à la taille d’échantillon typique des études cliniques monocentriques (</w:t>
      </w:r>
      <m:oMath>
        <m:r>
          <m:t>N</m:t>
        </m:r>
        <m:r>
          <m:rPr>
            <m:sty m:val="p"/>
          </m:rPr>
          <m:t>&lt;</m:t>
        </m:r>
        <m:r>
          <m:t>1</m:t>
        </m:r>
        <m:r>
          <m:t> </m:t>
        </m:r>
        <m:r>
          <m:t>000</m:t>
        </m:r>
      </m:oMath>
      <w:r>
        <w:t xml:space="preserve">).</w:t>
      </w:r>
    </w:p>
    <w:p>
      <w:pPr>
        <w:pStyle w:val="FirstParagraph"/>
      </w:pPr>
      <w:r>
        <w:rPr>
          <w:b/>
          <w:bCs/>
        </w:rPr>
        <w:t xml:space="preserve">Perspectives</w:t>
      </w:r>
      <w:r>
        <w:t xml:space="preserve"> </w:t>
      </w:r>
      <w:r>
        <w:t xml:space="preserve">: Les travaux futurs devraient (i) étendre la comparaison au mécanisme MNAR, (ii) intégrer des méthodes d’apprentissage profond (GAIN, VAE, AutoEncoder), (iii) implémenter MissForest dans un cadre d’imputation multiple formelle avec règles de Rubin, et (iv) valider ces résultats sur des cohortes multicentriques indépendantes.</w:t>
      </w:r>
    </w:p>
    <w:p>
      <w:r>
        <w:pict>
          <v:rect style="width:0;height:1.5pt" o:hralign="center" o:hrstd="t" o:hr="t"/>
        </w:pict>
      </w:r>
    </w:p>
    <w:p>
      <w:pPr>
        <w:pStyle w:val="FirstParagraph"/>
      </w:pPr>
      <w:r>
        <w:rPr>
          <w:b/>
          <w:bCs/>
        </w:rPr>
        <w:t xml:space="preserve">Mots-clés</w:t>
      </w:r>
      <w:r>
        <w:t xml:space="preserve"> </w:t>
      </w:r>
      <w:r>
        <w:t xml:space="preserve">: Données manquantes, MCAR, MAR, imputation, MissForest, MICE, KNN, Monte Carlo, RMSE, F1-score, Cohen’s Kappa, test de Friedman, biais de variance, recherche clinique, maladies cardiométaboliques.</w:t>
      </w:r>
    </w:p>
    <w:p>
      <w:pPr>
        <w:pStyle w:val="BodyText"/>
      </w:pPr>
      <w:r>
        <w:rPr>
          <w:b/>
          <w:bCs/>
        </w:rPr>
        <w:t xml:space="preserve">Déclaration de reproductibilité</w:t>
      </w:r>
      <w:r>
        <w:t xml:space="preserve"> </w:t>
      </w:r>
      <w:r>
        <w:t xml:space="preserve">: Le code source intégral (</w:t>
      </w:r>
      <w:r>
        <w:rPr>
          <w:rStyle w:val="VerbatimChar"/>
        </w:rPr>
        <w:t xml:space="preserve">simulation_v2.py</w:t>
      </w:r>
      <w:r>
        <w:t xml:space="preserve">), les données agrégées (</w:t>
      </w:r>
      <w:r>
        <w:rPr>
          <w:rStyle w:val="VerbatimChar"/>
        </w:rPr>
        <w:t xml:space="preserve">outputs/monte_carlo_results.csv</w:t>
      </w:r>
      <w:r>
        <w:t xml:space="preserve">) et les figures (</w:t>
      </w:r>
      <w:r>
        <w:rPr>
          <w:rStyle w:val="VerbatimChar"/>
        </w:rPr>
        <w:t xml:space="preserve">figures/</w:t>
      </w:r>
      <w:r>
        <w:t xml:space="preserve">) sont disponibles dans le dépôt associé. La graine aléatoire est fixée (</w:t>
      </w:r>
      <w:r>
        <w:rPr>
          <w:rStyle w:val="VerbatimChar"/>
        </w:rPr>
        <w:t xml:space="preserve">random_state = 42</w:t>
      </w:r>
      <w:r>
        <w:t xml:space="preserve">) et les versions logicielles sont documentées.</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2026-07-20T16:53:28Z</dcterms:created>
  <dcterms:modified xsi:type="dcterms:W3CDTF">2026-07-20T16:53:28Z</dcterms:modified>
</cp:coreProperties>
</file>

<file path=docProps/custom.xml><?xml version="1.0" encoding="utf-8"?>
<Properties xmlns="http://schemas.openxmlformats.org/officeDocument/2006/custom-properties" xmlns:vt="http://schemas.openxmlformats.org/officeDocument/2006/docPropsVTypes"/>
</file>