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upplément-scientifique-version-3"/>
    <w:p>
      <w:pPr>
        <w:pStyle w:val="Heading1"/>
      </w:pPr>
      <w:r>
        <w:t xml:space="preserve">SUPPLÉMENT SCIENTIFIQUE — VERSION 3</w:t>
      </w:r>
    </w:p>
    <w:bookmarkStart w:id="9" w:name="X94570c5fb04174734433e1e2a40cbea32a65630"/>
    <w:p>
      <w:pPr>
        <w:pStyle w:val="Heading2"/>
      </w:pPr>
      <w:r>
        <w:t xml:space="preserve">Compléments méthodologiques pour l’article : « Évaluation comparative Monte Carlo des méthodes d’imputation de données manquantes en recherche clinique cardiométabolique 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Ce supplément est destiné à être intégré à l’article principal v2. Les sections ci-dessous suivent la numérotation de l’article original et s’y insèrent sans remplacement du contenu existant.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acd57a51969abe209a407ce7c0bfc2528a1d933"/>
    <w:p>
      <w:pPr>
        <w:pStyle w:val="Heading1"/>
      </w:pPr>
      <w:r>
        <w:t xml:space="preserve">SUPPLÉMENT S1 : AUDIT MÉTHODOLOGIQUE DE L’ARTICLE EXISTANT</w:t>
      </w:r>
    </w:p>
    <w:p>
      <w:pPr>
        <w:pStyle w:val="FirstParagraph"/>
      </w:pPr>
      <w:r>
        <w:t xml:space="preserve">L’audit critique de l’article v2 révèle les forces et lacunes suivantes :</w:t>
      </w:r>
    </w:p>
    <w:bookmarkStart w:id="11" w:name="forces-déjà-présentes-dans-v2"/>
    <w:p>
      <w:pPr>
        <w:pStyle w:val="Heading2"/>
      </w:pPr>
      <w:r>
        <w:t xml:space="preserve">Forces (déjà présentes dans v2)</w:t>
      </w:r>
    </w:p>
    <w:p>
      <w:pPr>
        <w:pStyle w:val="Compact"/>
        <w:numPr>
          <w:ilvl w:val="0"/>
          <w:numId w:val="1001"/>
        </w:numPr>
      </w:pPr>
      <w:r>
        <w:t xml:space="preserve">Simulation Monte Carlo avec répétitions</w:t>
      </w:r>
    </w:p>
    <w:p>
      <w:pPr>
        <w:pStyle w:val="Compact"/>
        <w:numPr>
          <w:ilvl w:val="0"/>
          <w:numId w:val="1001"/>
        </w:numPr>
      </w:pPr>
      <w:r>
        <w:t xml:space="preserve">Mécanismes MCAR et MAR</w:t>
      </w:r>
    </w:p>
    <w:p>
      <w:pPr>
        <w:pStyle w:val="Compact"/>
        <w:numPr>
          <w:ilvl w:val="0"/>
          <w:numId w:val="1001"/>
        </w:numPr>
      </w:pPr>
      <w:r>
        <w:t xml:space="preserve">4 méthodes d’imputation (Médiane/Mode, KNN, MICE, MissForest)</w:t>
      </w:r>
    </w:p>
    <w:p>
      <w:pPr>
        <w:pStyle w:val="Compact"/>
        <w:numPr>
          <w:ilvl w:val="0"/>
          <w:numId w:val="1001"/>
        </w:numPr>
      </w:pPr>
      <w:r>
        <w:t xml:space="preserve">Métriques complètes (RMSE, MAE, NRMSE, F1,</w:t>
      </w:r>
      <w:r>
        <w:t xml:space="preserve"> </w:t>
      </w:r>
      <m:oMath>
        <m:r>
          <m:t>κ</m:t>
        </m:r>
      </m:oMath>
      <w:r>
        <w:t xml:space="preserve">, MCC)</w:t>
      </w:r>
    </w:p>
    <w:p>
      <w:pPr>
        <w:pStyle w:val="Compact"/>
        <w:numPr>
          <w:ilvl w:val="0"/>
          <w:numId w:val="1001"/>
        </w:numPr>
      </w:pPr>
      <w:r>
        <w:t xml:space="preserve">Tests de distribution (KS, Wilcoxon)</w:t>
      </w:r>
    </w:p>
    <w:p>
      <w:pPr>
        <w:pStyle w:val="Compact"/>
        <w:numPr>
          <w:ilvl w:val="0"/>
          <w:numId w:val="1001"/>
        </w:numPr>
      </w:pPr>
      <w:r>
        <w:t xml:space="preserve">Test de Friedman pour la comparaison globale</w:t>
      </w:r>
    </w:p>
    <w:p>
      <w:pPr>
        <w:pStyle w:val="Compact"/>
        <w:numPr>
          <w:ilvl w:val="0"/>
          <w:numId w:val="1001"/>
        </w:numPr>
      </w:pPr>
      <w:r>
        <w:t xml:space="preserve">Analyse d’impact clinique (régression logistique)</w:t>
      </w:r>
    </w:p>
    <w:p>
      <w:pPr>
        <w:pStyle w:val="Compact"/>
        <w:numPr>
          <w:ilvl w:val="0"/>
          <w:numId w:val="1001"/>
        </w:numPr>
      </w:pPr>
      <w:r>
        <w:t xml:space="preserve">Recommandations cliniques avec arbre décisionnel</w:t>
      </w:r>
    </w:p>
    <w:bookmarkEnd w:id="11"/>
    <w:bookmarkStart w:id="12" w:name="X48367a278739d11c54aeb88f928ae351b1823f3"/>
    <w:p>
      <w:pPr>
        <w:pStyle w:val="Heading2"/>
      </w:pPr>
      <w:r>
        <w:t xml:space="preserve">Lacunes identifiées (corrigées dans ce supplément)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545"/>
        <w:gridCol w:w="2124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Lacune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Section corrective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Absence des propriétés de l’imputation multiple (RIV, FMI, RE)</w:t>
            </w:r>
          </w:p>
        </w:tc>
        <w:tc>
          <w:tcPr/>
          <w:p>
            <w:pPr>
              <w:pStyle w:val="Compact"/>
            </w:pPr>
            <w:r>
              <w:t xml:space="preserve">Rubin (1987)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Non-évaluation de la conservation des corrélations/covariances</w:t>
            </w:r>
          </w:p>
        </w:tc>
        <w:tc>
          <w:tcPr/>
          <w:p>
            <w:pPr>
              <w:pStyle w:val="Compact"/>
            </w:pPr>
            <w:r>
              <w:t xml:space="preserve">van Buuren (2018)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Impact sur les modèles non documenté (OR, SE, IC)</w:t>
            </w:r>
          </w:p>
        </w:tc>
        <w:tc>
          <w:tcPr/>
          <w:p>
            <w:pPr>
              <w:pStyle w:val="Compact"/>
            </w:pPr>
            <w:r>
              <w:t xml:space="preserve">TRIPOD item 13b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Absence de tailles d’effet (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de Cohen,</w:t>
            </w:r>
            <w:r>
              <w:t xml:space="preserve"> </w:t>
            </w:r>
            <m:oMath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SAMPL guideline 7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Absence de tests post-hoc (Nemenyi, Holm)</w:t>
            </w:r>
          </w:p>
        </w:tc>
        <w:tc>
          <w:tcPr/>
          <w:p>
            <w:pPr>
              <w:pStyle w:val="Compact"/>
            </w:pPr>
            <w:r>
              <w:t xml:space="preserve">Demsar (2006)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Pas d’analyse de sensibilité des hyperparamètres</w:t>
            </w:r>
          </w:p>
        </w:tc>
        <w:tc>
          <w:tcPr/>
          <w:p>
            <w:pPr>
              <w:pStyle w:val="Compact"/>
            </w:pPr>
            <w:r>
              <w:t xml:space="preserve">RECORD item 19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Pas de cadre de validation externe</w:t>
            </w:r>
          </w:p>
        </w:tc>
        <w:tc>
          <w:tcPr/>
          <w:p>
            <w:pPr>
              <w:pStyle w:val="Compact"/>
            </w:pPr>
            <w:r>
              <w:t xml:space="preserve">TRIPOD type 4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Mécanisme MNAR non exécuté</w:t>
            </w:r>
          </w:p>
        </w:tc>
        <w:tc>
          <w:tcPr/>
          <w:p>
            <w:pPr>
              <w:pStyle w:val="Compact"/>
            </w:pPr>
            <w:r>
              <w:t xml:space="preserve">Little &amp; Rubin (2019)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Pas d’analyse de calibration (ROC, Brier, Hosmer-Lemeshow)</w:t>
            </w:r>
          </w:p>
        </w:tc>
        <w:tc>
          <w:tcPr/>
          <w:p>
            <w:pPr>
              <w:pStyle w:val="Compact"/>
            </w:pPr>
            <w:r>
              <w:t xml:space="preserve">STROBE item 16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Visualisations diagnostiques limitées</w:t>
            </w:r>
          </w:p>
        </w:tc>
        <w:tc>
          <w:tcPr/>
          <w:p>
            <w:pPr>
              <w:pStyle w:val="Compact"/>
            </w:pPr>
            <w:r>
              <w:t xml:space="preserve">Weissgerber et al. (2015)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Pas d’analyse de robustesse formelle</w:t>
            </w:r>
          </w:p>
        </w:tc>
        <w:tc>
          <w:tcPr/>
          <w:p>
            <w:pPr>
              <w:pStyle w:val="Compact"/>
            </w:pPr>
            <w:r>
              <w:t xml:space="preserve">Morris et al. (2019)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Bibliographie insuffisante</w:t>
            </w:r>
          </w:p>
        </w:tc>
        <w:tc>
          <w:tcPr/>
          <w:p>
            <w:pPr>
              <w:pStyle w:val="Compact"/>
            </w:pPr>
            <w:r>
              <w:t xml:space="preserve">Standards Vancouver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Discussion des limites insuffisamment structurée</w:t>
            </w:r>
          </w:p>
        </w:tc>
        <w:tc>
          <w:tcPr/>
          <w:p>
            <w:pPr>
              <w:pStyle w:val="Compact"/>
            </w:pPr>
            <w:r>
              <w:t xml:space="preserve">SAMPL guideline 8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Xec0d609f5f4178c65bba83850f225176a752a1a"/>
    <w:p>
      <w:pPr>
        <w:pStyle w:val="Heading1"/>
      </w:pPr>
      <w:r>
        <w:t xml:space="preserve">SUPPLÉMENT S2 : PROPRIÉTÉS DE L’IMPUTATION MULTIPLE — RÈGLES DE RUBIN</w:t>
      </w:r>
    </w:p>
    <w:bookmarkStart w:id="14" w:name="s2.1-fondements-théoriques"/>
    <w:p>
      <w:pPr>
        <w:pStyle w:val="Heading2"/>
      </w:pPr>
      <w:r>
        <w:t xml:space="preserve">S2.1 Fondements théoriques</w:t>
      </w:r>
    </w:p>
    <w:p>
      <w:pPr>
        <w:pStyle w:val="FirstParagraph"/>
      </w:pPr>
      <w:r>
        <w:t xml:space="preserve">L’imputation multiple (Rubin, 1987) génère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versions complétées du jeu de données, reflétant l’incertitude liée au processus d’imputation. Pour chaque dataset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on estime le paramètre d’intérêt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et sa variance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. Les règles de combinaison de Rubin s’écrivent :</w:t>
      </w:r>
    </w:p>
    <w:p>
      <w:pPr>
        <w:pStyle w:val="BodyText"/>
      </w:pPr>
      <w:r>
        <w:rPr>
          <w:b/>
          <w:bCs/>
        </w:rPr>
        <w:t xml:space="preserve">Estimation ponctuelle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Variance intra-imputation (Within-Imputation Variance)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Variance inter-imputation (Between-Imputation Variance) 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Q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Variance totale 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e>
          </m:d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Augmentation relative de la variance (RIV)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B</m:t>
              </m:r>
            </m:num>
            <m:den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Fraction d’information manquante (FMI)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FMI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RIV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RIV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Efficacité relative (RE)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FMI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4"/>
    <w:bookmarkStart w:id="17" w:name="s2.2-résultats"/>
    <w:p>
      <w:pPr>
        <w:pStyle w:val="Heading2"/>
      </w:pPr>
      <w:r>
        <w:t xml:space="preserve">S2.2 Résultats</w:t>
      </w:r>
    </w:p>
    <w:bookmarkStart w:id="15" w:name="X4a736f30f7869ebc1a94a7bb3401aa27ecf4e13"/>
    <w:p>
      <w:pPr>
        <w:pStyle w:val="Heading3"/>
      </w:pPr>
      <w:r>
        <w:t xml:space="preserve">Tableau S2 — Propriétés de l’imputation multiple MICE avec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(bootstrap, 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RIV</w:t>
            </w:r>
          </w:p>
        </w:tc>
        <w:tc>
          <w:tcPr/>
          <w:p>
            <w:pPr>
              <w:pStyle w:val="Compact"/>
            </w:pPr>
            <w:r>
              <w:t xml:space="preserve">FMI</w:t>
            </w:r>
          </w:p>
        </w:tc>
        <w:tc>
          <w:tcPr/>
          <w:p>
            <w:pPr>
              <w:pStyle w:val="Compact"/>
            </w:pPr>
            <w:r>
              <w:t xml:space="preserve">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116,26</w:t>
            </w:r>
          </w:p>
        </w:tc>
        <w:tc>
          <w:tcPr/>
          <w:p>
            <w:pPr>
              <w:pStyle w:val="Compact"/>
            </w:pPr>
            <w:r>
              <w:t xml:space="preserve">0,64</w:t>
            </w:r>
          </w:p>
        </w:tc>
        <w:tc>
          <w:tcPr/>
          <w:p>
            <w:pPr>
              <w:pStyle w:val="Compact"/>
            </w:pPr>
            <w:r>
              <w:t xml:space="preserve">117,03</w:t>
            </w:r>
          </w:p>
        </w:tc>
        <w:tc>
          <w:tcPr/>
          <w:p>
            <w:pPr>
              <w:pStyle w:val="Compact"/>
            </w:pPr>
            <w:r>
              <w:t xml:space="preserve">0,007</w:t>
            </w:r>
          </w:p>
        </w:tc>
        <w:tc>
          <w:tcPr/>
          <w:p>
            <w:pPr>
              <w:pStyle w:val="Compact"/>
            </w:pPr>
            <w:r>
              <w:t xml:space="preserve">0,338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IMC</w:t>
            </w:r>
          </w:p>
        </w:tc>
        <w:tc>
          <w:tcPr/>
          <w:p>
            <w:pPr>
              <w:pStyle w:val="Compact"/>
            </w:pPr>
            <w:r>
              <w:t xml:space="preserve">30,89</w:t>
            </w:r>
          </w:p>
        </w:tc>
        <w:tc>
          <w:tcPr/>
          <w:p>
            <w:pPr>
              <w:pStyle w:val="Compact"/>
            </w:pPr>
            <w:r>
              <w:t xml:space="preserve">0,18</w:t>
            </w:r>
          </w:p>
        </w:tc>
        <w:tc>
          <w:tcPr/>
          <w:p>
            <w:pPr>
              <w:pStyle w:val="Compact"/>
            </w:pPr>
            <w:r>
              <w:t xml:space="preserve">31,11</w:t>
            </w:r>
          </w:p>
        </w:tc>
        <w:tc>
          <w:tcPr/>
          <w:p>
            <w:pPr>
              <w:pStyle w:val="Compact"/>
            </w:pPr>
            <w:r>
              <w:t xml:space="preserve">0,007</w:t>
            </w:r>
          </w:p>
        </w:tc>
        <w:tc>
          <w:tcPr/>
          <w:p>
            <w:pPr>
              <w:pStyle w:val="Compact"/>
            </w:pPr>
            <w:r>
              <w:t xml:space="preserve">0,338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</w:t>
            </w:r>
          </w:p>
        </w:tc>
        <w:tc>
          <w:tcPr/>
          <w:p>
            <w:pPr>
              <w:pStyle w:val="Compact"/>
            </w:pPr>
            <w:r>
              <w:t xml:space="preserve">245,29</w:t>
            </w:r>
          </w:p>
        </w:tc>
        <w:tc>
          <w:tcPr/>
          <w:p>
            <w:pPr>
              <w:pStyle w:val="Compact"/>
            </w:pPr>
            <w:r>
              <w:t xml:space="preserve">0,65</w:t>
            </w:r>
          </w:p>
        </w:tc>
        <w:tc>
          <w:tcPr/>
          <w:p>
            <w:pPr>
              <w:pStyle w:val="Compact"/>
            </w:pPr>
            <w:r>
              <w:t xml:space="preserve">246,07</w:t>
            </w:r>
          </w:p>
        </w:tc>
        <w:tc>
          <w:tcPr/>
          <w:p>
            <w:pPr>
              <w:pStyle w:val="Compact"/>
            </w:pPr>
            <w:r>
              <w:t xml:space="preserve">0,003</w:t>
            </w:r>
          </w:p>
        </w:tc>
        <w:tc>
          <w:tcPr/>
          <w:p>
            <w:pPr>
              <w:pStyle w:val="Compact"/>
            </w:pPr>
            <w:r>
              <w:t xml:space="preserve">0,336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  <w:r>
              <w:t xml:space="preserve">526,70</w:t>
            </w:r>
          </w:p>
        </w:tc>
        <w:tc>
          <w:tcPr/>
          <w:p>
            <w:pPr>
              <w:pStyle w:val="Compact"/>
            </w:pPr>
            <w:r>
              <w:t xml:space="preserve">3,37</w:t>
            </w:r>
          </w:p>
        </w:tc>
        <w:tc>
          <w:tcPr/>
          <w:p>
            <w:pPr>
              <w:pStyle w:val="Compact"/>
            </w:pPr>
            <w:r>
              <w:t xml:space="preserve">530,74</w:t>
            </w:r>
          </w:p>
        </w:tc>
        <w:tc>
          <w:tcPr/>
          <w:p>
            <w:pPr>
              <w:pStyle w:val="Compact"/>
            </w:pPr>
            <w:r>
              <w:t xml:space="preserve">0,008</w:t>
            </w:r>
          </w:p>
        </w:tc>
        <w:tc>
          <w:tcPr/>
          <w:p>
            <w:pPr>
              <w:pStyle w:val="Compact"/>
            </w:pPr>
            <w:r>
              <w:t xml:space="preserve">0,338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176,30</w:t>
            </w:r>
          </w:p>
        </w:tc>
        <w:tc>
          <w:tcPr/>
          <w:p>
            <w:pPr>
              <w:pStyle w:val="Compact"/>
            </w:pPr>
            <w:r>
              <w:t xml:space="preserve">0,66</w:t>
            </w:r>
          </w:p>
        </w:tc>
        <w:tc>
          <w:tcPr/>
          <w:p>
            <w:pPr>
              <w:pStyle w:val="Compact"/>
            </w:pPr>
            <w:r>
              <w:t xml:space="preserve">177,09</w:t>
            </w:r>
          </w:p>
        </w:tc>
        <w:tc>
          <w:tcPr/>
          <w:p>
            <w:pPr>
              <w:pStyle w:val="Compact"/>
            </w:pPr>
            <w:r>
              <w:t xml:space="preserve">0,005</w:t>
            </w:r>
          </w:p>
        </w:tc>
        <w:tc>
          <w:tcPr/>
          <w:p>
            <w:pPr>
              <w:pStyle w:val="Compact"/>
            </w:pPr>
            <w:r>
              <w:t xml:space="preserve">0,336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</w:t>
            </w:r>
          </w:p>
        </w:tc>
        <w:tc>
          <w:tcPr/>
          <w:p>
            <w:pPr>
              <w:pStyle w:val="Compact"/>
            </w:pPr>
            <w:r>
              <w:t xml:space="preserve">164,53</w:t>
            </w:r>
          </w:p>
        </w:tc>
        <w:tc>
          <w:tcPr/>
          <w:p>
            <w:pPr>
              <w:pStyle w:val="Compact"/>
            </w:pPr>
            <w:r>
              <w:t xml:space="preserve">0,42</w:t>
            </w:r>
          </w:p>
        </w:tc>
        <w:tc>
          <w:tcPr/>
          <w:p>
            <w:pPr>
              <w:pStyle w:val="Compact"/>
            </w:pPr>
            <w:r>
              <w:t xml:space="preserve">165,03</w:t>
            </w:r>
          </w:p>
        </w:tc>
        <w:tc>
          <w:tcPr/>
          <w:p>
            <w:pPr>
              <w:pStyle w:val="Compact"/>
            </w:pPr>
            <w:r>
              <w:t xml:space="preserve">0,003</w:t>
            </w:r>
          </w:p>
        </w:tc>
        <w:tc>
          <w:tcPr/>
          <w:p>
            <w:pPr>
              <w:pStyle w:val="Compact"/>
            </w:pPr>
            <w:r>
              <w:t xml:space="preserve">0,335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HDL</w:t>
            </w:r>
          </w:p>
        </w:tc>
        <w:tc>
          <w:tcPr/>
          <w:p>
            <w:pPr>
              <w:pStyle w:val="Compact"/>
            </w:pPr>
            <w:r>
              <w:t xml:space="preserve">0,063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  <w:tc>
          <w:tcPr/>
          <w:p>
            <w:pPr>
              <w:pStyle w:val="Compact"/>
            </w:pPr>
            <w:r>
              <w:t xml:space="preserve">0,063</w:t>
            </w:r>
          </w:p>
        </w:tc>
        <w:tc>
          <w:tcPr/>
          <w:p>
            <w:pPr>
              <w:pStyle w:val="Compact"/>
            </w:pPr>
            <w:r>
              <w:t xml:space="preserve">0,004</w:t>
            </w:r>
          </w:p>
        </w:tc>
        <w:tc>
          <w:tcPr/>
          <w:p>
            <w:pPr>
              <w:pStyle w:val="Compact"/>
            </w:pPr>
            <w:r>
              <w:t xml:space="preserve">0,336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Totc</w:t>
            </w:r>
          </w:p>
        </w:tc>
        <w:tc>
          <w:tcPr/>
          <w:p>
            <w:pPr>
              <w:pStyle w:val="Compact"/>
            </w:pPr>
            <w:r>
              <w:t xml:space="preserve">0,162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  <w:tc>
          <w:tcPr/>
          <w:p>
            <w:pPr>
              <w:pStyle w:val="Compact"/>
            </w:pPr>
            <w:r>
              <w:t xml:space="preserve">0,163</w:t>
            </w:r>
          </w:p>
        </w:tc>
        <w:tc>
          <w:tcPr/>
          <w:p>
            <w:pPr>
              <w:pStyle w:val="Compact"/>
            </w:pPr>
            <w:r>
              <w:t xml:space="preserve">0,002</w:t>
            </w:r>
          </w:p>
        </w:tc>
        <w:tc>
          <w:tcPr/>
          <w:p>
            <w:pPr>
              <w:pStyle w:val="Compact"/>
            </w:pPr>
            <w:r>
              <w:t xml:space="preserve">0,334</w:t>
            </w:r>
          </w:p>
        </w:tc>
        <w:tc>
          <w:tcPr/>
          <w:p>
            <w:pPr>
              <w:pStyle w:val="Compact"/>
            </w:pPr>
            <w:r>
              <w:t xml:space="preserve">0,937</w:t>
            </w:r>
          </w:p>
        </w:tc>
      </w:tr>
    </w:tbl>
    <w:bookmarkEnd w:id="15"/>
    <w:bookmarkStart w:id="16" w:name="interprétation-clinique"/>
    <w:p>
      <w:pPr>
        <w:pStyle w:val="Heading3"/>
      </w:pPr>
      <w:r>
        <w:t xml:space="preserve">Interprétation clinique</w:t>
      </w:r>
    </w:p>
    <w:p>
      <w:pPr>
        <w:pStyle w:val="FirstParagraph"/>
      </w:pPr>
      <w:r>
        <w:t xml:space="preserve">La variance inter-imputation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 systématiquement très faible comparée à la variance intra-imputation</w:t>
      </w:r>
      <w:r>
        <w:t xml:space="preserve"> </w:t>
      </w:r>
      <m:oMath>
        <m:acc>
          <m:accPr>
            <m:chr m:val="‾"/>
          </m:accPr>
          <m:e>
            <m:r>
              <m:t>W</m:t>
            </m:r>
          </m:e>
        </m:acc>
      </m:oMath>
      <w:r>
        <w:t xml:space="preserve"> </w:t>
      </w:r>
      <w:r>
        <w:t xml:space="preserve">(RIV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0,003–0,008). Ceci indique que</w:t>
      </w:r>
      <w:r>
        <w:t xml:space="preserve"> </w:t>
      </w:r>
      <w:r>
        <w:rPr>
          <w:b/>
          <w:bCs/>
        </w:rPr>
        <w:t xml:space="preserve">l’incertitude due à l’imputation est négligeable</w:t>
      </w:r>
      <w:r>
        <w:t xml:space="preserve"> </w:t>
      </w:r>
      <w:r>
        <w:t xml:space="preserve">par rapport à la variabilité intrinsèque des données dans cette cohorte. La FMI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33,4–33,8 % reflète le taux de données manquantes (20 %) et la structure de dépendance des variables. L’efficacité relative RE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0,937 indique qu’avec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imputations, on récupère 93,7 % de l’efficacité asymptotique (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ce qui est conforme à la recommandation de Rubin selon laquelle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suffisent lorsque la FMI est modérée.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 Pour cette base de données avec 20 % de MCAR,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imputations sont suffisantes. Pour des taux de perte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40 %,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serait préférable.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Xaebced9a4197ccf5647795ee4e39eff337806b4"/>
    <w:p>
      <w:pPr>
        <w:pStyle w:val="Heading1"/>
      </w:pPr>
      <w:r>
        <w:t xml:space="preserve">SUPPLÉMENT S3 : CONSERVATION DES RELATIONS ENTRE VARIABLES</w:t>
      </w:r>
    </w:p>
    <w:bookmarkStart w:id="19" w:name="s3.1-méthodes"/>
    <w:p>
      <w:pPr>
        <w:pStyle w:val="Heading2"/>
      </w:pPr>
      <w:r>
        <w:t xml:space="preserve">S3.1 Méthodes</w:t>
      </w:r>
    </w:p>
    <w:p>
      <w:pPr>
        <w:pStyle w:val="FirstParagraph"/>
      </w:pPr>
      <w:r>
        <w:t xml:space="preserve">La conservation de la structure de corrélation est évaluée via trois coefficients calculés avant et après imputation (MCAR 20%)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: corrélation linéaire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: corrélation de rang (robuste aux valeurs aberrantes)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Kendall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: corrélation de rang basée sur la concordance</w:t>
      </w:r>
    </w:p>
    <w:p>
      <w:pPr>
        <w:pStyle w:val="FirstParagraph"/>
      </w:pPr>
      <w:r>
        <w:t xml:space="preserve">L’erreur moyenne absolue de corrélation est définie comme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orig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imp</m:t>
                      </m:r>
                    </m:sup>
                  </m:sSubSup>
                </m:e>
              </m:d>
            </m:e>
          </m:nary>
        </m:oMath>
      </m:oMathPara>
    </w:p>
    <w:bookmarkEnd w:id="19"/>
    <w:bookmarkStart w:id="22" w:name="s3.2-résultats"/>
    <w:p>
      <w:pPr>
        <w:pStyle w:val="Heading2"/>
      </w:pPr>
      <w:r>
        <w:t xml:space="preserve">S3.2 Résultats</w:t>
      </w:r>
    </w:p>
    <w:bookmarkStart w:id="20" w:name="Xbf6e1bd6c82c2195a599a9352cd1830dd8a2e34"/>
    <w:p>
      <w:pPr>
        <w:pStyle w:val="Heading3"/>
      </w:pPr>
      <w:r>
        <w:t xml:space="preserve">Tableau S3 — Erreur absolue moyenne des corrélations (MCAR 20 %)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2"/>
        <w:gridCol w:w="2105"/>
        <w:gridCol w:w="2506"/>
        <w:gridCol w:w="2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</m:oMath>
            <w:r>
              <w:t xml:space="preserve"> </w:t>
            </w:r>
            <w:r>
              <w:t xml:space="preserve">(Pearson)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ρ</m:t>
              </m:r>
            </m:oMath>
            <w:r>
              <w:t xml:space="preserve"> </w:t>
            </w:r>
            <w:r>
              <w:t xml:space="preserve">(Spearman)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τ</m:t>
              </m:r>
            </m:oMath>
            <w:r>
              <w:t xml:space="preserve"> </w:t>
            </w:r>
            <w:r>
              <w:t xml:space="preserve">(Kendall)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0,0468</w:t>
            </w:r>
          </w:p>
        </w:tc>
        <w:tc>
          <w:tcPr/>
          <w:p>
            <w:pPr>
              <w:pStyle w:val="Compact"/>
            </w:pPr>
            <w:r>
              <w:t xml:space="preserve">0,0504</w:t>
            </w:r>
          </w:p>
        </w:tc>
        <w:tc>
          <w:tcPr/>
          <w:p>
            <w:pPr>
              <w:pStyle w:val="Compact"/>
            </w:pPr>
            <w:r>
              <w:t xml:space="preserve">0,0397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0,0367</w:t>
            </w:r>
          </w:p>
        </w:tc>
        <w:tc>
          <w:tcPr/>
          <w:p>
            <w:pPr>
              <w:pStyle w:val="Compact"/>
            </w:pPr>
            <w:r>
              <w:t xml:space="preserve">0,0435</w:t>
            </w:r>
          </w:p>
        </w:tc>
        <w:tc>
          <w:tcPr/>
          <w:p>
            <w:pPr>
              <w:pStyle w:val="Compact"/>
            </w:pPr>
            <w:r>
              <w:t xml:space="preserve">0,0357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0,0376</w:t>
            </w:r>
          </w:p>
        </w:tc>
        <w:tc>
          <w:tcPr/>
          <w:p>
            <w:pPr>
              <w:pStyle w:val="Compact"/>
            </w:pPr>
            <w:r>
              <w:t xml:space="preserve">0,0415</w:t>
            </w:r>
          </w:p>
        </w:tc>
        <w:tc>
          <w:tcPr/>
          <w:p>
            <w:pPr>
              <w:pStyle w:val="Compact"/>
            </w:pPr>
            <w:r>
              <w:t xml:space="preserve">0,0327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0,0221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0,0254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0,0191</w:t>
            </w:r>
          </w:p>
        </w:tc>
      </w:tr>
    </w:tbl>
    <w:bookmarkEnd w:id="20"/>
    <w:bookmarkStart w:id="21" w:name="interprétation"/>
    <w:p>
      <w:pPr>
        <w:pStyle w:val="Heading3"/>
      </w:pPr>
      <w:r>
        <w:t xml:space="preserve">Interprétation</w:t>
      </w:r>
    </w:p>
    <w:p>
      <w:pPr>
        <w:pStyle w:val="FirstParagraph"/>
      </w:pPr>
      <w:r>
        <w:t xml:space="preserve">MissForest préserve les corrélations avec une erreur</w:t>
      </w:r>
      <w:r>
        <w:t xml:space="preserve"> </w:t>
      </w:r>
      <w:r>
        <w:rPr>
          <w:b/>
          <w:bCs/>
        </w:rPr>
        <w:t xml:space="preserve">2,1 fois inférieure</w:t>
      </w:r>
      <w:r>
        <w:t xml:space="preserve"> </w:t>
      </w:r>
      <w:r>
        <w:t xml:space="preserve">à la Médiane/Mode pour Pearson (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047</m:t>
        </m:r>
      </m:oMath>
      <w:r>
        <w:t xml:space="preserve">). Ce résultat est cohérent avec la capacité des forêts aléatoires à modéliser les dépendances multivariées sans hypothèse de linéarité. La supériorité de MissForest est encore plus marquée pour le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 Kendall (</w:t>
      </w:r>
      <m:oMath>
        <m:r>
          <m:rPr>
            <m:sty m:val="p"/>
          </m:rPr>
          <m:t>Δ</m:t>
        </m:r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019</m:t>
        </m:r>
      </m:oMath>
      <w:r>
        <w:t xml:space="preserve">), indiquant une meilleure conservation des relations monotones non nécessairement linéaires, fréquentes en biologie cardiométabolique (ex. relation log-linéaire entre IMC et HOMA-IR).</w:t>
      </w:r>
    </w:p>
    <w:p>
      <w:pPr>
        <w:pStyle w:val="BodyText"/>
      </w:pPr>
      <w:r>
        <w:t xml:space="preserve">La Médiane/Mode — méthode univariée ignorant toute covariance — produit logiquement la plus grande distorsion de la structure de corrélation. Cette distorsion se propage aux analyses multivariées ultérieures (ACP, régression multiple) et peut conduire à des conclusions erronées sur les associations entre biomarqueurs.</w:t>
      </w:r>
    </w:p>
    <w:p>
      <w:pPr>
        <w:pStyle w:val="BodyText"/>
      </w:pPr>
      <w:r>
        <w:rPr>
          <w:b/>
          <w:bCs/>
        </w:rPr>
        <w:t xml:space="preserve">Figure S3</w:t>
      </w:r>
      <w:r>
        <w:t xml:space="preserve"> </w:t>
      </w:r>
      <w:r>
        <w:t xml:space="preserve">: Heatmap des différences de corrélation de Pearson (voir</w:t>
      </w:r>
      <w:r>
        <w:t xml:space="preserve"> </w:t>
      </w:r>
      <w:r>
        <w:rPr>
          <w:rStyle w:val="VerbatimChar"/>
        </w:rPr>
        <w:t xml:space="preserve">figures_v3/correlation_diff_heatmap.png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X3e6def28f9be6819e536f819e32dc5944268932"/>
    <w:p>
      <w:pPr>
        <w:pStyle w:val="Heading1"/>
      </w:pPr>
      <w:r>
        <w:t xml:space="preserve">SUPPLÉMENT S4 : PRÉSERVATION DES MODÈLES STATISTIQUES</w:t>
      </w:r>
    </w:p>
    <w:bookmarkStart w:id="24" w:name="s4.1-méthodes"/>
    <w:p>
      <w:pPr>
        <w:pStyle w:val="Heading2"/>
      </w:pPr>
      <w:r>
        <w:t xml:space="preserve">S4.1 Méthodes</w:t>
      </w:r>
    </w:p>
    <w:p>
      <w:pPr>
        <w:pStyle w:val="FirstParagraph"/>
      </w:pPr>
      <w:r>
        <w:t xml:space="preserve">Au-delà de la qualité de reconstruction, l’impact de l’imputation sur les</w:t>
      </w:r>
      <w:r>
        <w:t xml:space="preserve"> </w:t>
      </w:r>
      <w:r>
        <w:rPr>
          <w:b/>
          <w:bCs/>
        </w:rPr>
        <w:t xml:space="preserve">inférences cliniques</w:t>
      </w:r>
      <w:r>
        <w:t xml:space="preserve"> </w:t>
      </w:r>
      <w:r>
        <w:t xml:space="preserve">est évalué via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Régression logistique</w:t>
      </w:r>
      <w:r>
        <w:t xml:space="preserve"> </w:t>
      </w:r>
      <w:r>
        <w:t xml:space="preserve">prédisant l’HTA à partir de 25 prédicteurs continus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Régression linéaire</w:t>
      </w:r>
      <w:r>
        <w:t xml:space="preserve"> </w:t>
      </w:r>
      <w:r>
        <w:t xml:space="preserve">prédisant l’IMC</w:t>
      </w:r>
    </w:p>
    <w:p>
      <w:pPr>
        <w:pStyle w:val="Compact"/>
        <w:numPr>
          <w:ilvl w:val="0"/>
          <w:numId w:val="1003"/>
        </w:numPr>
      </w:pPr>
      <w:r>
        <w:t xml:space="preserve">Métriques : Accuracy, AUC, biais relatif des OR, biais absolu maximal des</w:t>
      </w:r>
      <w:r>
        <w:t xml:space="preserve"> </w:t>
      </w:r>
      <m:oMath>
        <m:r>
          <m:t>β</m:t>
        </m:r>
      </m:oMath>
      <w:r>
        <w:t xml:space="preserve">, ratio d’erreurs standards, taux de changement de significativité 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</w:t>
      </w:r>
    </w:p>
    <w:bookmarkEnd w:id="24"/>
    <w:bookmarkStart w:id="27" w:name="s4.2-résultats"/>
    <w:p>
      <w:pPr>
        <w:pStyle w:val="Heading2"/>
      </w:pPr>
      <w:r>
        <w:t xml:space="preserve">S4.2 Résultats</w:t>
      </w:r>
    </w:p>
    <w:bookmarkStart w:id="25" w:name="X40c79d193c64496b5cef5dd5294bb60d40a6051"/>
    <w:p>
      <w:pPr>
        <w:pStyle w:val="Heading3"/>
      </w:pPr>
      <w:r>
        <w:t xml:space="preserve">Tableau S4 — Impact de l’imputation sur les modèles cliniques (MCAR 20 %)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60"/>
        <w:gridCol w:w="400"/>
        <w:gridCol w:w="1360"/>
        <w:gridCol w:w="1600"/>
        <w:gridCol w:w="800"/>
        <w:gridCol w:w="120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LR Accuracy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Biais OR (rel.)</w:t>
            </w:r>
          </w:p>
        </w:tc>
        <w:tc>
          <w:tcPr/>
          <w:p>
            <w:pPr>
              <w:pStyle w:val="Compact"/>
            </w:pPr>
            <w:r>
              <w:t xml:space="preserve">Biais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(max)</w:t>
            </w:r>
          </w:p>
        </w:tc>
        <w:tc>
          <w:tcPr/>
          <w:p>
            <w:pPr>
              <w:pStyle w:val="Compact"/>
            </w:pPr>
            <w:r>
              <w:t xml:space="preserve">Ratio 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Sign.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0,881</w:t>
            </w:r>
          </w:p>
        </w:tc>
        <w:tc>
          <w:tcPr/>
          <w:p>
            <w:pPr>
              <w:pStyle w:val="Compact"/>
            </w:pPr>
            <w:r>
              <w:t xml:space="preserve">0,959</w:t>
            </w:r>
          </w:p>
        </w:tc>
        <w:tc>
          <w:tcPr/>
          <w:p>
            <w:pPr>
              <w:pStyle w:val="Compact"/>
            </w:pPr>
            <w:r>
              <w:t xml:space="preserve">0,293</w:t>
            </w:r>
          </w:p>
        </w:tc>
        <w:tc>
          <w:tcPr/>
          <w:p>
            <w:pPr>
              <w:pStyle w:val="Compact"/>
            </w:pPr>
            <w:r>
              <w:t xml:space="preserve">1,146</w:t>
            </w:r>
          </w:p>
        </w:tc>
        <w:tc>
          <w:tcPr/>
          <w:p>
            <w:pPr>
              <w:pStyle w:val="Compact"/>
            </w:pPr>
            <w:r>
              <w:t xml:space="preserve">0,656</w:t>
            </w:r>
          </w:p>
        </w:tc>
        <w:tc>
          <w:tcPr/>
          <w:p>
            <w:pPr>
              <w:pStyle w:val="Compact"/>
            </w:pPr>
            <w:r>
              <w:t xml:space="preserve">0,482</w:t>
            </w:r>
          </w:p>
        </w:tc>
        <w:tc>
          <w:tcPr/>
          <w:p>
            <w:pPr>
              <w:pStyle w:val="Compact"/>
            </w:pPr>
            <w:r>
              <w:t xml:space="preserve">0,772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0,894</w:t>
            </w:r>
          </w:p>
        </w:tc>
        <w:tc>
          <w:tcPr/>
          <w:p>
            <w:pPr>
              <w:pStyle w:val="Compact"/>
            </w:pPr>
            <w:r>
              <w:t xml:space="preserve">0,960</w:t>
            </w:r>
          </w:p>
        </w:tc>
        <w:tc>
          <w:tcPr/>
          <w:p>
            <w:pPr>
              <w:pStyle w:val="Compact"/>
            </w:pPr>
            <w:r>
              <w:t xml:space="preserve">0,347</w:t>
            </w:r>
          </w:p>
        </w:tc>
        <w:tc>
          <w:tcPr/>
          <w:p>
            <w:pPr>
              <w:pStyle w:val="Compact"/>
            </w:pPr>
            <w:r>
              <w:t xml:space="preserve">0,985</w:t>
            </w:r>
          </w:p>
        </w:tc>
        <w:tc>
          <w:tcPr/>
          <w:p>
            <w:pPr>
              <w:pStyle w:val="Compact"/>
            </w:pPr>
            <w:r>
              <w:t xml:space="preserve">0,657</w:t>
            </w:r>
          </w:p>
        </w:tc>
        <w:tc>
          <w:tcPr/>
          <w:p>
            <w:pPr>
              <w:pStyle w:val="Compact"/>
            </w:pPr>
            <w:r>
              <w:t xml:space="preserve">0,482</w:t>
            </w:r>
          </w:p>
        </w:tc>
        <w:tc>
          <w:tcPr/>
          <w:p>
            <w:pPr>
              <w:pStyle w:val="Compact"/>
            </w:pPr>
            <w:r>
              <w:t xml:space="preserve">0,791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0,840</w:t>
            </w:r>
          </w:p>
        </w:tc>
        <w:tc>
          <w:tcPr/>
          <w:p>
            <w:pPr>
              <w:pStyle w:val="Compact"/>
            </w:pPr>
            <w:r>
              <w:t xml:space="preserve">0,914</w:t>
            </w:r>
          </w:p>
        </w:tc>
        <w:tc>
          <w:tcPr/>
          <w:p>
            <w:pPr>
              <w:pStyle w:val="Compact"/>
            </w:pPr>
            <w:r>
              <w:t xml:space="preserve">0,529</w:t>
            </w:r>
          </w:p>
        </w:tc>
        <w:tc>
          <w:tcPr/>
          <w:p>
            <w:pPr>
              <w:pStyle w:val="Compact"/>
            </w:pPr>
            <w:r>
              <w:t xml:space="preserve">2,055</w:t>
            </w:r>
          </w:p>
        </w:tc>
        <w:tc>
          <w:tcPr/>
          <w:p>
            <w:pPr>
              <w:pStyle w:val="Compact"/>
            </w:pPr>
            <w:r>
              <w:t xml:space="preserve">0,764</w:t>
            </w:r>
          </w:p>
        </w:tc>
        <w:tc>
          <w:tcPr/>
          <w:p>
            <w:pPr>
              <w:pStyle w:val="Compact"/>
            </w:pPr>
            <w:r>
              <w:t xml:space="preserve">0,296</w:t>
            </w:r>
          </w:p>
        </w:tc>
        <w:tc>
          <w:tcPr/>
          <w:p>
            <w:pPr>
              <w:pStyle w:val="Compact"/>
            </w:pPr>
            <w:r>
              <w:t xml:space="preserve">0,662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0,153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0,222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0,825</w:t>
            </w:r>
          </w:p>
        </w:tc>
      </w:tr>
    </w:tbl>
    <w:bookmarkEnd w:id="25"/>
    <w:bookmarkStart w:id="26" w:name="interprétation-1"/>
    <w:p>
      <w:pPr>
        <w:pStyle w:val="Heading3"/>
      </w:pPr>
      <w:r>
        <w:t xml:space="preserve">Interprétation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MissForest</w:t>
      </w:r>
      <w:r>
        <w:t xml:space="preserve"> </w:t>
      </w:r>
      <w:r>
        <w:t xml:space="preserve">produit le modèle logistique le plus fidèle à la référence (Accuracy = 95,8 %, AUC = 0,989). Le biais relatif sur les OR est de 15,3 %, soit</w:t>
      </w:r>
      <w:r>
        <w:t xml:space="preserve"> </w:t>
      </w:r>
      <w:r>
        <w:rPr>
          <w:b/>
          <w:bCs/>
        </w:rPr>
        <w:t xml:space="preserve">3,4 fois moins que MICE</w:t>
      </w:r>
      <w:r>
        <w:t xml:space="preserve"> </w:t>
      </w:r>
      <w:r>
        <w:t xml:space="preserve">(52,9 %). Le taux de changement de significativité (22,2 %) signifie que pour 22 % des prédicteurs, l’imputation modifie la conclusion statistique 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↔</m:t>
        </m:r>
        <m:r>
          <m:t>p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MICE (BayesianRidge)</w:t>
      </w:r>
      <w:r>
        <w:t xml:space="preserve"> </w:t>
      </w:r>
      <w:r>
        <w:t xml:space="preserve">est le plus mauvais sur tous les critères : biais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maximal de 2,055 (presque 5 fois celui de MissForest), AUC de 0,914. La violation de l’hypothèse de normalité par 88 % des variables invalide le modèle d’imputation et ce biais se propage aux analyses cliniques subséquentes.</w:t>
      </w:r>
    </w:p>
    <w:p>
      <w:pPr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ratio d’erreurs standards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pour toutes les méthodes indique une</w:t>
      </w:r>
      <w:r>
        <w:t xml:space="preserve"> </w:t>
      </w:r>
      <w:r>
        <w:rPr>
          <w:b/>
          <w:bCs/>
        </w:rPr>
        <w:t xml:space="preserve">sous-estimation systématique de l’incertitude</w:t>
      </w:r>
      <w:r>
        <w:t xml:space="preserve"> </w:t>
      </w:r>
      <w:r>
        <w:t xml:space="preserve">par rapport au modèle sur données originales, ce qui gonfle artificiellement la significativité et augmente le risque d’erreur de type I. MissForest a le ratio SE le plus proche de 1 (0,821), indiquant la distorsion la plus faible.</w:t>
      </w:r>
    </w:p>
    <w:p>
      <w:pPr>
        <w:numPr>
          <w:ilvl w:val="0"/>
          <w:numId w:val="1004"/>
        </w:numPr>
      </w:pPr>
      <w:r>
        <w:t xml:space="preserve">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du modèle de régression pour l’IMC montre que MissForest (0,825) préserve mieux les relations prédictives que la Médiane/Mode (0,772), avec un gain absolu de 5,3 points de pourcentage.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supplément-s5-tailles-deffet"/>
    <w:p>
      <w:pPr>
        <w:pStyle w:val="Heading1"/>
      </w:pPr>
      <w:r>
        <w:t xml:space="preserve">SUPPLÉMENT S5 : TAILLES D’EFFET</w:t>
      </w:r>
    </w:p>
    <w:bookmarkStart w:id="29" w:name="s5.1-méthodes"/>
    <w:p>
      <w:pPr>
        <w:pStyle w:val="Heading2"/>
      </w:pPr>
      <w:r>
        <w:t xml:space="preserve">S5.1 Méthodes</w:t>
      </w:r>
    </w:p>
    <w:p>
      <w:pPr>
        <w:pStyle w:val="FirstParagraph"/>
      </w:pPr>
      <w:r>
        <w:t xml:space="preserve">Conformément aux recommandations SAMPL, toute</w:t>
      </w:r>
      <w:r>
        <w:t xml:space="preserve"> </w:t>
      </w:r>
      <m:oMath>
        <m:r>
          <m:t>p</m:t>
        </m:r>
      </m:oMath>
      <w:r>
        <w:t xml:space="preserve">-valeur doit être accompagnée d’une taille d’effet. Nous rapportons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7"/>
        <w:gridCol w:w="2124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Taille d’effet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Cohen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pooled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Petit : 0,2 ; Modéré : 0,5 ; Grand : 0,8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Cliff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Négligeable : &lt;0,147 ; Petit : 0,147 ; Modéré : 0,33 ; Grand : 0,474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effet</m:t>
                  </m:r>
                </m:sub>
              </m:sSub>
              <m:r>
                <m:rPr>
                  <m:sty m:val="p"/>
                </m:rPr>
                <m:t>/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Petit : 0,01 ; Modéré : 0,06 ; Grand : 0,14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Odds Ratio</w:t>
            </w:r>
          </w:p>
        </w:tc>
        <w:tc>
          <w:tcPr/>
          <w:p>
            <w:pPr>
              <w:pStyle w:val="Compact"/>
            </w:pPr>
            <w:r>
              <w:t xml:space="preserve">Comparaison de l’accuracy de classification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2" w:name="s5.2-résultats"/>
    <w:p>
      <w:pPr>
        <w:pStyle w:val="Heading2"/>
      </w:pPr>
      <w:r>
        <w:t xml:space="preserve">S5.2 Résultats</w:t>
      </w:r>
    </w:p>
    <w:bookmarkStart w:id="30" w:name="X545620b3ce38760bdf0dd55d8930673bce12859"/>
    <w:p>
      <w:pPr>
        <w:pStyle w:val="Heading3"/>
      </w:pPr>
      <w:r>
        <w:t xml:space="preserve">Tableau S5 — Tailles d’effet des méthodes vs Baseline (Médiane/Mode, MCAR 20 %)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074"/>
        <w:gridCol w:w="188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de Cohen (RMSE)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de Cliff (KS)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(Friedman)</w:t>
            </w:r>
          </w:p>
        </w:tc>
        <w:tc>
          <w:tcPr/>
          <w:p>
            <w:pPr>
              <w:pStyle w:val="Compact"/>
            </w:pPr>
            <w:r>
              <w:t xml:space="preserve">OR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 (réf.)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0,792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+0,017</w:t>
            </w:r>
          </w:p>
        </w:tc>
        <w:tc>
          <w:tcPr/>
          <w:p>
            <w:pPr>
              <w:pStyle w:val="Compact"/>
            </w:pPr>
            <w:r>
              <w:t xml:space="preserve">0,286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1,14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−0,073</w:t>
            </w:r>
          </w:p>
        </w:tc>
        <w:tc>
          <w:tcPr/>
          <w:p>
            <w:pPr>
              <w:pStyle w:val="Compact"/>
            </w:pPr>
            <w:r>
              <w:t xml:space="preserve">0,245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0,71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+0,398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3,09</w:t>
            </w:r>
          </w:p>
        </w:tc>
      </w:tr>
    </w:tbl>
    <w:bookmarkEnd w:id="30"/>
    <w:bookmarkStart w:id="31" w:name="interprétation-2"/>
    <w:p>
      <w:pPr>
        <w:pStyle w:val="Heading3"/>
      </w:pPr>
      <w:r>
        <w:t xml:space="preserve">Interprétation</w:t>
      </w:r>
    </w:p>
    <w:p>
      <w:pPr>
        <w:pStyle w:val="Compact"/>
        <w:numPr>
          <w:ilvl w:val="0"/>
          <w:numId w:val="1005"/>
        </w:numPr>
      </w:pPr>
      <w:r>
        <w:t xml:space="preserve">Le</w:t>
      </w:r>
      <w: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Cohen</w:t>
      </w:r>
      <w:r>
        <w:t xml:space="preserve"> </w:t>
      </w:r>
      <w:r>
        <w:t xml:space="preserve">de MissForest (+0,40) correspond à un</w:t>
      </w:r>
      <w:r>
        <w:t xml:space="preserve"> </w:t>
      </w:r>
      <w:r>
        <w:rPr>
          <w:b/>
          <w:bCs/>
        </w:rPr>
        <w:t xml:space="preserve">effet modéré</w:t>
      </w:r>
      <w:r>
        <w:t xml:space="preserve"> </w:t>
      </w:r>
      <w:r>
        <w:t xml:space="preserve">selon les conventions de Cohen (1988). Ceci quantifie l’amélioration cliniquement pertinente de la précision d’imputation.</w:t>
      </w:r>
    </w:p>
    <w:p>
      <w:pPr>
        <w:pStyle w:val="Compact"/>
        <w:numPr>
          <w:ilvl w:val="0"/>
          <w:numId w:val="1005"/>
        </w:numPr>
      </w:pPr>
      <w:r>
        <w:t xml:space="preserve">Le</w:t>
      </w:r>
      <w: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Cliff</w:t>
      </w:r>
      <w:r>
        <w:t xml:space="preserve"> </w:t>
      </w:r>
      <w:r>
        <w:t xml:space="preserve">de 0,180 pour MissForest indique que la probabilité qu’une observation imputée par MissForest soit plus proche de la vérité qu’une observation imputée par la Médiane/Mode est de 59 % (contre 41 % pour l’inverse), soit un avantage modeste mais systématique.</w:t>
      </w:r>
    </w:p>
    <w:p>
      <w:pPr>
        <w:pStyle w:val="Compact"/>
        <w:numPr>
          <w:ilvl w:val="0"/>
          <w:numId w:val="1005"/>
        </w:numPr>
      </w:pPr>
      <w:r>
        <w:t xml:space="preserve">Le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du test de Friedman (0,95) est un</w:t>
      </w:r>
      <w:r>
        <w:t xml:space="preserve"> </w:t>
      </w:r>
      <w:r>
        <w:rPr>
          <w:b/>
          <w:bCs/>
        </w:rPr>
        <w:t xml:space="preserve">effet très grand</w:t>
      </w:r>
      <w:r>
        <w:t xml:space="preserve">, indiquant que le choix de la méthode d’imputation explique la quasi-totalité de la variance des classements.</w:t>
      </w:r>
    </w:p>
    <w:p>
      <w:pPr>
        <w:pStyle w:val="Compact"/>
        <w:numPr>
          <w:ilvl w:val="0"/>
          <w:numId w:val="1005"/>
        </w:numPr>
      </w:pPr>
      <w:r>
        <w:t xml:space="preserve">L’</w:t>
      </w:r>
      <w:r>
        <w:rPr>
          <w:b/>
          <w:bCs/>
        </w:rPr>
        <w:t xml:space="preserve">OR d’accuracy</w:t>
      </w:r>
      <w:r>
        <w:t xml:space="preserve"> </w:t>
      </w:r>
      <w:r>
        <w:t xml:space="preserve">de 3,09 pour MissForest signifie que la précision de classification de l’HTA est</w:t>
      </w:r>
      <w:r>
        <w:t xml:space="preserve"> </w:t>
      </w:r>
      <w:r>
        <w:rPr>
          <w:b/>
          <w:bCs/>
        </w:rPr>
        <w:t xml:space="preserve">3 fois supérieure</w:t>
      </w:r>
      <w:r>
        <w:t xml:space="preserve"> </w:t>
      </w:r>
      <w:r>
        <w:t xml:space="preserve">à celle obtenue avec l’imputation par Médiane/Mode.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X8df6d1e72559317ae5aec78f9a5ec6069ce875e"/>
    <w:p>
      <w:pPr>
        <w:pStyle w:val="Heading1"/>
      </w:pPr>
      <w:r>
        <w:t xml:space="preserve">SUPPLÉMENT S6 : COMPARAISONS POST-HOC (NEMENYI, HOLM, CRITICAL DIFFERENCE DIAGRAM)</w:t>
      </w:r>
    </w:p>
    <w:bookmarkStart w:id="34" w:name="s6.1-méthodes"/>
    <w:p>
      <w:pPr>
        <w:pStyle w:val="Heading2"/>
      </w:pPr>
      <w:r>
        <w:t xml:space="preserve">S6.1 Méthodes</w:t>
      </w:r>
    </w:p>
    <w:p>
      <w:pPr>
        <w:pStyle w:val="FirstParagraph"/>
      </w:pPr>
      <w:r>
        <w:t xml:space="preserve">Suite au test de Friedman significatif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les comparaisons post-hoc identifient les paires de méthodes significativement différentes.</w:t>
      </w:r>
    </w:p>
    <w:p>
      <w:pPr>
        <w:pStyle w:val="BodyText"/>
      </w:pPr>
      <w:r>
        <w:rPr>
          <w:b/>
          <w:bCs/>
        </w:rPr>
        <w:t xml:space="preserve">Test de Nemenyi</w:t>
      </w:r>
      <w:r>
        <w:t xml:space="preserve"> </w:t>
      </w:r>
      <w:r>
        <w:t xml:space="preserve">: Deux méthodes diffèrent significativement si la différence de leurs rangs moyens dépasse la différence critique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α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6</m:t>
                  </m:r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méthodes,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variables,</w:t>
      </w:r>
      <w:r>
        <w:t xml:space="preserve"> </w:t>
      </w:r>
      <m:oMath>
        <m:sSub>
          <m:e>
            <m:r>
              <m:t>q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569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 de Holm</w:t>
      </w:r>
      <w:r>
        <w:t xml:space="preserve"> </w:t>
      </w:r>
      <w:r>
        <w:t xml:space="preserve">: Ajustement séquentiel du seuil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pour contrôler le FWER.</w:t>
      </w:r>
    </w:p>
    <w:bookmarkEnd w:id="34"/>
    <w:bookmarkStart w:id="36" w:name="s6.2-résultats"/>
    <w:p>
      <w:pPr>
        <w:pStyle w:val="Heading2"/>
      </w:pPr>
      <w:r>
        <w:t xml:space="preserve">S6.2 Résultats</w:t>
      </w:r>
    </w:p>
    <w:p>
      <w:pPr>
        <w:pStyle w:val="FirstParagraph"/>
      </w:pPr>
      <w:r>
        <w:rPr>
          <w:b/>
          <w:bCs/>
        </w:rPr>
        <w:t xml:space="preserve">Rangs moyens (Friedman, MCAR 20 %)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Rang moyen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2,72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2,79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3,07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Différence critique</w:t>
      </w:r>
      <w:r>
        <w:t xml:space="preserve"> </w:t>
      </w:r>
      <w:r>
        <w:t xml:space="preserve">: CD = 0,871 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Comparaisons post-hoc (Holm)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Comparaison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Holm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vs</w:t>
            </w:r>
            <w:r>
              <w:t xml:space="preserve"> </w:t>
            </w: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0,0083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 vs</w:t>
            </w:r>
            <w:r>
              <w:t xml:space="preserve"> </w:t>
            </w: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0,0100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vs</w:t>
            </w:r>
            <w:r>
              <w:t xml:space="preserve"> </w:t>
            </w: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0,0125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vs MICE</w:t>
            </w:r>
          </w:p>
        </w:tc>
        <w:tc>
          <w:tcPr/>
          <w:p>
            <w:pPr>
              <w:pStyle w:val="Compact"/>
            </w:pPr>
            <w:r>
              <w:t xml:space="preserve">0,309</w:t>
            </w:r>
          </w:p>
        </w:tc>
        <w:tc>
          <w:tcPr/>
          <w:p>
            <w:pPr>
              <w:pStyle w:val="Compact"/>
            </w:pPr>
            <w:r>
              <w:t xml:space="preserve">0,0167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 vs MICE</w:t>
            </w:r>
          </w:p>
        </w:tc>
        <w:tc>
          <w:tcPr/>
          <w:p>
            <w:pPr>
              <w:pStyle w:val="Compact"/>
            </w:pPr>
            <w:r>
              <w:t xml:space="preserve">0,416</w:t>
            </w:r>
          </w:p>
        </w:tc>
        <w:tc>
          <w:tcPr/>
          <w:p>
            <w:pPr>
              <w:pStyle w:val="Compact"/>
            </w:pPr>
            <w:r>
              <w:t xml:space="preserve">0,0250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 vs KNN</w:t>
            </w:r>
          </w:p>
        </w:tc>
        <w:tc>
          <w:tcPr/>
          <w:p>
            <w:pPr>
              <w:pStyle w:val="Compact"/>
            </w:pPr>
            <w:r>
              <w:t xml:space="preserve">0,839</w:t>
            </w:r>
          </w:p>
        </w:tc>
        <w:tc>
          <w:tcPr/>
          <w:p>
            <w:pPr>
              <w:pStyle w:val="Compact"/>
            </w:pPr>
            <w:r>
              <w:t xml:space="preserve">0,0500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</w:tbl>
    <w:bookmarkStart w:id="35" w:name="interprétation-3"/>
    <w:p>
      <w:pPr>
        <w:pStyle w:val="Heading3"/>
      </w:pPr>
      <w:r>
        <w:t xml:space="preserve">Interprétation</w:t>
      </w:r>
    </w:p>
    <w:p>
      <w:pPr>
        <w:pStyle w:val="FirstParagraph"/>
      </w:pPr>
      <w:r>
        <w:rPr>
          <w:b/>
          <w:bCs/>
        </w:rPr>
        <w:t xml:space="preserve">MissForest est significativement supérieur à toutes les autres méthodes</w:t>
      </w:r>
      <w:r>
        <w:t xml:space="preserve"> </w:t>
      </w:r>
      <w:r>
        <w:t xml:space="preserve">après correction de Holm 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0125</m:t>
        </m:r>
      </m:oMath>
      <w:r>
        <w:t xml:space="preserve"> </w:t>
      </w:r>
      <w:r>
        <w:t xml:space="preserve">pour les trois comparaisons). Les paires {Médiane/Mode, KNN, MICE} ne diffèrent pas significativement entre elles, formant un</w:t>
      </w:r>
      <w:r>
        <w:t xml:space="preserve"> </w:t>
      </w:r>
      <w:r>
        <w:rPr>
          <w:b/>
          <w:bCs/>
        </w:rPr>
        <w:t xml:space="preserve">groupe homogène de performances inférieures</w:t>
      </w:r>
      <w:r>
        <w:t xml:space="preserve">.</w:t>
      </w:r>
    </w:p>
    <w:p>
      <w:pPr>
        <w:pStyle w:val="BodyText"/>
      </w:pPr>
      <w:r>
        <w:t xml:space="preserve">Ce résultat est visualisé dans le</w:t>
      </w:r>
      <w:r>
        <w:t xml:space="preserve"> </w:t>
      </w:r>
      <w:r>
        <w:rPr>
          <w:b/>
          <w:bCs/>
        </w:rPr>
        <w:t xml:space="preserve">Critical Difference Diagram</w:t>
      </w:r>
      <w:r>
        <w:t xml:space="preserve"> </w:t>
      </w:r>
      <w:r>
        <w:t xml:space="preserve">(Figure S6,</w:t>
      </w:r>
      <w:r>
        <w:t xml:space="preserve"> </w:t>
      </w:r>
      <w:r>
        <w:rPr>
          <w:rStyle w:val="VerbatimChar"/>
        </w:rPr>
        <w:t xml:space="preserve">figures_v3/critical_difference_diagram.png</w:t>
      </w:r>
      <w:r>
        <w:t xml:space="preserve">), où MissForest apparaît isolé à gauche (rang le plus bas = meilleur), tandis que les trois autres méthodes forment un groupe connecté non significativement distinct.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supplément-s7-analyse-de-sensibilité"/>
    <w:p>
      <w:pPr>
        <w:pStyle w:val="Heading1"/>
      </w:pPr>
      <w:r>
        <w:t xml:space="preserve">SUPPLÉMENT S7 : ANALYSE DE SENSIBILITÉ</w:t>
      </w:r>
    </w:p>
    <w:bookmarkStart w:id="38" w:name="s7.1-méthodes"/>
    <w:p>
      <w:pPr>
        <w:pStyle w:val="Heading2"/>
      </w:pPr>
      <w:r>
        <w:t xml:space="preserve">S7.1 Méthodes</w:t>
      </w:r>
    </w:p>
    <w:p>
      <w:pPr>
        <w:pStyle w:val="FirstParagraph"/>
      </w:pPr>
      <w:r>
        <w:t xml:space="preserve">La robustesse des conclusions à la spécification des hyperparamètres est évaluée :</w:t>
      </w:r>
    </w:p>
    <w:p>
      <w:pPr>
        <w:pStyle w:val="BodyText"/>
      </w:pPr>
      <w:r>
        <w:rPr>
          <w:b/>
          <w:bCs/>
        </w:rPr>
        <w:t xml:space="preserve">KNN</w:t>
      </w:r>
      <w:r>
        <w:t xml:space="preserve"> </w:t>
      </w:r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br/>
      </w:r>
      <w:r>
        <w:rPr>
          <w:b/>
          <w:bCs/>
        </w:rPr>
        <w:t xml:space="preserve">MissForest</w:t>
      </w:r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estimators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max_depth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</w:p>
    <w:bookmarkEnd w:id="38"/>
    <w:bookmarkStart w:id="41" w:name="s7.2-résultats"/>
    <w:p>
      <w:pPr>
        <w:pStyle w:val="Heading2"/>
      </w:pPr>
      <w:r>
        <w:t xml:space="preserve">S7.2 Résultats</w:t>
      </w:r>
    </w:p>
    <w:bookmarkStart w:id="39" w:name="X0d1268ed109e88b50c76005ebc8c88865b138ec"/>
    <w:p>
      <w:pPr>
        <w:pStyle w:val="Heading3"/>
      </w:pPr>
      <w:r>
        <w:t xml:space="preserve">Tableau S7a — Sensibilité de KNN au paramètre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58,83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57,34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57,49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58,88</w:t>
            </w:r>
          </w:p>
        </w:tc>
      </w:tr>
    </w:tbl>
    <w:p>
      <w:pPr>
        <w:pStyle w:val="BodyText"/>
      </w:pPr>
      <w:r>
        <w:t xml:space="preserve">L’optimum 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avec une dégradation modeste aux extrêmes (+2,6 % pour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+2,7 % pour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). KNN est</w:t>
      </w:r>
      <w:r>
        <w:t xml:space="preserve"> </w:t>
      </w:r>
      <w:r>
        <w:rPr>
          <w:b/>
          <w:bCs/>
        </w:rPr>
        <w:t xml:space="preserve">robuste au choix de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 </w:t>
      </w:r>
      <w:r>
        <w:t xml:space="preserve">dans la gamme testée.</w:t>
      </w:r>
    </w:p>
    <w:bookmarkEnd w:id="39"/>
    <w:bookmarkStart w:id="40" w:name="Xb8296508a934dc4fbc0012b892e6b8ca01d8773"/>
    <w:p>
      <w:pPr>
        <w:pStyle w:val="Heading3"/>
      </w:pPr>
      <w:r>
        <w:t xml:space="preserve">Tableau S7b — Sensibilité de MissForest aux hyperparamètres (MCAR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est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max_depth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Temps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32,61</w:t>
            </w:r>
          </w:p>
        </w:tc>
        <w:tc>
          <w:tcPr/>
          <w:p>
            <w:pPr>
              <w:pStyle w:val="Compact"/>
            </w:pPr>
            <w:r>
              <w:t xml:space="preserve">57,7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32,86</w:t>
            </w:r>
          </w:p>
        </w:tc>
        <w:tc>
          <w:tcPr/>
          <w:p>
            <w:pPr>
              <w:pStyle w:val="Compact"/>
            </w:pPr>
            <w:r>
              <w:t xml:space="preserve">87,4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33,27</w:t>
            </w:r>
          </w:p>
        </w:tc>
        <w:tc>
          <w:tcPr/>
          <w:p>
            <w:pPr>
              <w:pStyle w:val="Compact"/>
            </w:pPr>
            <w:r>
              <w:t xml:space="preserve">47,0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32,05</w:t>
            </w:r>
          </w:p>
        </w:tc>
        <w:tc>
          <w:tcPr/>
          <w:p>
            <w:pPr>
              <w:pStyle w:val="Compact"/>
            </w:pPr>
            <w:r>
              <w:t xml:space="preserve">46,2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32,75</w:t>
            </w:r>
          </w:p>
        </w:tc>
        <w:tc>
          <w:tcPr/>
          <w:p>
            <w:pPr>
              <w:pStyle w:val="Compact"/>
            </w:pPr>
            <w:r>
              <w:t xml:space="preserve">76,2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32,81</w:t>
            </w:r>
          </w:p>
        </w:tc>
        <w:tc>
          <w:tcPr/>
          <w:p>
            <w:pPr>
              <w:pStyle w:val="Compact"/>
            </w:pPr>
            <w:r>
              <w:t xml:space="preserve">97,3</w:t>
            </w:r>
          </w:p>
        </w:tc>
      </w:tr>
    </w:tbl>
    <w:p>
      <w:pPr>
        <w:pStyle w:val="BodyText"/>
      </w:pPr>
      <w:r>
        <w:t xml:space="preserve">La configuration optimale identifiée est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est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max_depth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(RMSE = 32,05). La sensibilité aux hyperparamètres est</w:t>
      </w:r>
      <w:r>
        <w:t xml:space="preserve"> </w:t>
      </w:r>
      <w:r>
        <w:rPr>
          <w:b/>
          <w:bCs/>
        </w:rPr>
        <w:t xml:space="preserve">faible</w:t>
      </w:r>
      <w:r>
        <w:t xml:space="preserve"> </w:t>
      </w:r>
      <w:r>
        <w:t xml:space="preserve">: l’écart entre la meilleure (32,05) et la pire configuration (33,27) n’est que de 3,8 %. La profondeur limitée (</w:t>
      </w:r>
      <m:oMath>
        <m:r>
          <m:rPr>
            <m:nor/>
            <m:sty m:val="p"/>
          </m:rPr>
          <m:t>max_depth</m:t>
        </m:r>
        <m:r>
          <m:rPr>
            <m:sty m:val="p"/>
          </m:rPr>
          <m:t>=</m:t>
        </m:r>
        <m:r>
          <m:t>5</m:t>
        </m:r>
      </m:oMath>
      <w:r>
        <w:t xml:space="preserve">) est préférable, suggérant qu’un élagage régularisé améliore la généralisation. L’absence de limite de profondeur (</w:t>
      </w:r>
      <m:oMath>
        <m:r>
          <m:rPr>
            <m:sty m:val="p"/>
          </m:rPr>
          <m:t>∞</m:t>
        </m:r>
      </m:oMath>
      <w:r>
        <w:t xml:space="preserve">) avec 100 arbres est la configuration la plus lente (97,3 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Xa6534c14fbd0b9e9b64b84b7019a9f6c5cde3a4"/>
    <w:p>
      <w:pPr>
        <w:pStyle w:val="Heading1"/>
      </w:pPr>
      <w:r>
        <w:t xml:space="preserve">SUPPLÉMENT S8 : CADRE DE VALIDATION EXTERNE</w:t>
      </w:r>
    </w:p>
    <w:bookmarkStart w:id="47" w:name="s8.1-protocole-de-validation"/>
    <w:p>
      <w:pPr>
        <w:pStyle w:val="Heading2"/>
      </w:pPr>
      <w:r>
        <w:t xml:space="preserve">S8.1 Protocole de validation</w:t>
      </w:r>
    </w:p>
    <w:p>
      <w:pPr>
        <w:pStyle w:val="FirstParagraph"/>
      </w:pPr>
      <w:r>
        <w:t xml:space="preserve">La généralisabilité des résultats nécessite une validation externe selon trois axes (TRIPOD type 4) :</w:t>
      </w:r>
    </w:p>
    <w:bookmarkStart w:id="43" w:name="validation-temporelle"/>
    <w:p>
      <w:pPr>
        <w:pStyle w:val="Heading3"/>
      </w:pPr>
      <w:r>
        <w:t xml:space="preserve">Validation temporelle</w:t>
      </w:r>
    </w:p>
    <w:p>
      <w:pPr>
        <w:pStyle w:val="FirstParagraph"/>
      </w:pPr>
      <w:r>
        <w:t xml:space="preserve">Répliquer la simulation sur une cohorte recrutée à une période différente (ex. 2015–2020 vs 2020–2025) pour évaluer la stabilité temporelle des conclusions.</w:t>
      </w:r>
    </w:p>
    <w:bookmarkEnd w:id="43"/>
    <w:bookmarkStart w:id="44" w:name="validation-multicentrique"/>
    <w:p>
      <w:pPr>
        <w:pStyle w:val="Heading3"/>
      </w:pPr>
      <w:r>
        <w:t xml:space="preserve">Validation multicentrique</w:t>
      </w:r>
    </w:p>
    <w:p>
      <w:pPr>
        <w:pStyle w:val="FirstParagraph"/>
      </w:pPr>
      <w:r>
        <w:t xml:space="preserve">Appliquer le protocole à des bases issues d’au moins 2 centres indépendants présentant des caractéristiques de population différentes (ex. centre hospitalier universitaire vs clinique de ville).</w:t>
      </w:r>
    </w:p>
    <w:bookmarkEnd w:id="44"/>
    <w:bookmarkStart w:id="45" w:name="validation-géographique"/>
    <w:p>
      <w:pPr>
        <w:pStyle w:val="Heading3"/>
      </w:pPr>
      <w:r>
        <w:t xml:space="preserve">Validation géographique</w:t>
      </w:r>
    </w:p>
    <w:p>
      <w:pPr>
        <w:pStyle w:val="FirstParagraph"/>
      </w:pPr>
      <w:r>
        <w:t xml:space="preserve">Évaluer la robustesse sur des cohortes de zones géographiques distinctes (Europe, Amérique du Nord, Asie) où les distributions des variables cardiométaboliques diffèrent.</w:t>
      </w:r>
    </w:p>
    <w:bookmarkEnd w:id="45"/>
    <w:bookmarkStart w:id="46" w:name="critères-de-succès"/>
    <w:p>
      <w:pPr>
        <w:pStyle w:val="Heading3"/>
      </w:pPr>
      <w:r>
        <w:t xml:space="preserve">Critères de succès</w:t>
      </w:r>
    </w:p>
    <w:p>
      <w:pPr>
        <w:pStyle w:val="Compact"/>
        <w:numPr>
          <w:ilvl w:val="0"/>
          <w:numId w:val="1006"/>
        </w:numPr>
      </w:pPr>
      <w:r>
        <w:t xml:space="preserve">Maintien du classement MissForest &gt; KNN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MICE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Médiane/Mode dans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80 % des cohortes externes</w:t>
      </w:r>
    </w:p>
    <w:p>
      <w:pPr>
        <w:pStyle w:val="Compact"/>
        <w:numPr>
          <w:ilvl w:val="0"/>
          <w:numId w:val="1006"/>
        </w:numPr>
      </w:pPr>
      <w:r>
        <w:t xml:space="preserve">RMSE MissForest externe ne dépassant pas 1,5× le RMSE interne pour le même taux de perte</w:t>
      </w:r>
    </w:p>
    <w:p>
      <w:pPr>
        <w:pStyle w:val="Compact"/>
        <w:numPr>
          <w:ilvl w:val="0"/>
          <w:numId w:val="1006"/>
        </w:numPr>
      </w:pPr>
      <w:r>
        <w:t xml:space="preserve">Stabilité des seuils critiques identifiés (MAR 40 %,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) à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10 % près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X894110a5208733e902dac03f4e5420d234a10fd"/>
    <w:p>
      <w:pPr>
        <w:pStyle w:val="Heading1"/>
      </w:pPr>
      <w:r>
        <w:t xml:space="preserve">SUPPLÉMENT S9 : MÉCANISME MNAR — EXÉCUTION COMPLÈTE</w:t>
      </w:r>
    </w:p>
    <w:bookmarkStart w:id="52" w:name="s9.1-résultats"/>
    <w:p>
      <w:pPr>
        <w:pStyle w:val="Heading2"/>
      </w:pPr>
      <w:r>
        <w:t xml:space="preserve">S9.1 Résultats</w:t>
      </w:r>
    </w:p>
    <w:bookmarkStart w:id="49" w:name="Xb3a59d247accde66ba6fad32d47faef07910f67"/>
    <w:p>
      <w:pPr>
        <w:pStyle w:val="Heading3"/>
      </w:pPr>
      <w:r>
        <w:t xml:space="preserve">Tableau S9 — Performances sous MNAR (taux 10 %, 20 %, 40 %)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Taux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77,57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0,321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76,89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0,331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76,26</w:t>
            </w:r>
          </w:p>
        </w:tc>
        <w:tc>
          <w:tcPr/>
          <w:p>
            <w:pPr>
              <w:pStyle w:val="Compact"/>
            </w:pPr>
            <w:r>
              <w:t xml:space="preserve">0,240</w:t>
            </w:r>
          </w:p>
        </w:tc>
        <w:tc>
          <w:tcPr/>
          <w:p>
            <w:pPr>
              <w:pStyle w:val="Compact"/>
            </w:pPr>
            <w:r>
              <w:t xml:space="preserve">0,391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t xml:space="preserve">71,22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0,354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20 %</w:t>
            </w:r>
          </w:p>
        </w:tc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57,94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0,210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57,78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0,221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57,66</w:t>
            </w:r>
          </w:p>
        </w:tc>
        <w:tc>
          <w:tcPr/>
          <w:p>
            <w:pPr>
              <w:pStyle w:val="Compact"/>
            </w:pPr>
            <w:r>
              <w:t xml:space="preserve">0,240</w:t>
            </w:r>
          </w:p>
        </w:tc>
        <w:tc>
          <w:tcPr/>
          <w:p>
            <w:pPr>
              <w:pStyle w:val="Compact"/>
            </w:pPr>
            <w:r>
              <w:t xml:space="preserve">0,300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t xml:space="preserve">56,53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106,74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106,74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212,70</w:t>
            </w:r>
          </w:p>
        </w:tc>
        <w:tc>
          <w:tcPr/>
          <w:p>
            <w:pPr>
              <w:pStyle w:val="Compact"/>
            </w:pPr>
            <w:r>
              <w:t xml:space="preserve">0,367</w:t>
            </w:r>
          </w:p>
        </w:tc>
        <w:tc>
          <w:tcPr/>
          <w:p>
            <w:pPr>
              <w:pStyle w:val="Compact"/>
            </w:pPr>
            <w:r>
              <w:t xml:space="preserve">1309,51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106,81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0,084</w:t>
            </w:r>
          </w:p>
        </w:tc>
      </w:tr>
    </w:tbl>
    <w:bookmarkEnd w:id="49"/>
    <w:bookmarkStart w:id="50" w:name="s9.2-comparaison-tri-mécanisme-à-20"/>
    <w:p>
      <w:pPr>
        <w:pStyle w:val="Heading3"/>
      </w:pPr>
      <w:r>
        <w:t xml:space="preserve">S9.2 Comparaison tri-mécanisme à 20 %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MCAR</w:t>
            </w:r>
          </w:p>
        </w:tc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MNAR</w:t>
            </w:r>
          </w:p>
        </w:tc>
        <w:tc>
          <w:tcPr/>
          <w:p>
            <w:pPr>
              <w:pStyle w:val="Compact"/>
            </w:pPr>
            <w:r>
              <w:t xml:space="preserve">Ratio MNAR/MCAR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60,5</w:t>
            </w:r>
          </w:p>
        </w:tc>
        <w:tc>
          <w:tcPr/>
          <w:p>
            <w:pPr>
              <w:pStyle w:val="Compact"/>
            </w:pPr>
            <w:r>
              <w:t xml:space="preserve">60,2</w:t>
            </w:r>
          </w:p>
        </w:tc>
        <w:tc>
          <w:tcPr/>
          <w:p>
            <w:pPr>
              <w:pStyle w:val="Compact"/>
            </w:pPr>
            <w:r>
              <w:t xml:space="preserve">57,9</w:t>
            </w:r>
          </w:p>
        </w:tc>
        <w:tc>
          <w:tcPr/>
          <w:p>
            <w:pPr>
              <w:pStyle w:val="Compact"/>
            </w:pPr>
            <w:r>
              <w:t xml:space="preserve">0,96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55,1</w:t>
            </w:r>
          </w:p>
        </w:tc>
        <w:tc>
          <w:tcPr/>
          <w:p>
            <w:pPr>
              <w:pStyle w:val="Compact"/>
            </w:pPr>
            <w:r>
              <w:t xml:space="preserve">76,8</w:t>
            </w:r>
          </w:p>
        </w:tc>
        <w:tc>
          <w:tcPr/>
          <w:p>
            <w:pPr>
              <w:pStyle w:val="Compact"/>
            </w:pPr>
            <w:r>
              <w:t xml:space="preserve">57,8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70,3</w:t>
            </w:r>
          </w:p>
        </w:tc>
        <w:tc>
          <w:tcPr/>
          <w:p>
            <w:pPr>
              <w:pStyle w:val="Compact"/>
            </w:pPr>
            <w:r>
              <w:t xml:space="preserve">91,7</w:t>
            </w:r>
          </w:p>
        </w:tc>
        <w:tc>
          <w:tcPr/>
          <w:p>
            <w:pPr>
              <w:pStyle w:val="Compact"/>
            </w:pPr>
            <w:r>
              <w:t xml:space="preserve">57,7</w:t>
            </w:r>
          </w:p>
        </w:tc>
        <w:tc>
          <w:tcPr/>
          <w:p>
            <w:pPr>
              <w:pStyle w:val="Compact"/>
            </w:pPr>
            <w:r>
              <w:t xml:space="preserve">0,82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35,3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1,74</w:t>
            </w:r>
          </w:p>
        </w:tc>
      </w:tr>
    </w:tbl>
    <w:bookmarkEnd w:id="50"/>
    <w:bookmarkStart w:id="51" w:name="interprétation-4"/>
    <w:p>
      <w:pPr>
        <w:pStyle w:val="Heading3"/>
      </w:pPr>
      <w:r>
        <w:t xml:space="preserve">Interprétation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Sous MNAR, les écarts entre méthodes se réduisent considérablement.</w:t>
      </w:r>
      <w:r>
        <w:t xml:space="preserve"> </w:t>
      </w:r>
      <w:r>
        <w:t xml:space="preserve">Le RMSE de MissForest augmente de 74 % entre MCAR (32,5) et MNAR (56,5) à 20 % de perte. Ce phénomène est attendu : le MNAR viole l’hypothèse fondamentale que l’information nécessaire à l’imputation est contenue dans les données observées.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MICE surpasse MissForest sous MNAR à 20 %</w:t>
      </w:r>
      <w:r>
        <w:t xml:space="preserve"> </w:t>
      </w:r>
      <w:r>
        <w:t xml:space="preserve">(RMSE = 57,66 vs 56,53) — inversion par rapport à MCAR/MAR. Sous MNAR, la flexibilité de MissForest peut incorporer du bruit là où un modèle plus simple (MICE) est plus régularisé.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À 40 % MNAR, MICE explose littéralement</w:t>
      </w:r>
      <w:r>
        <w:t xml:space="preserve"> </w:t>
      </w:r>
      <w:r>
        <w:t xml:space="preserve">(RMSE = 212,70,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1309</m:t>
        </m:r>
        <m:r>
          <m:rPr>
            <m:sty m:val="p"/>
          </m:rPr>
          <m:t>,</m:t>
        </m:r>
        <m:r>
          <m:t>51</m:t>
        </m:r>
      </m:oMath>
      <w:r>
        <w:t xml:space="preserve">), produisant des imputations à variance gigantesque. Ce comportement pathologique illustre l’effondrement complet des hypothèses du modèle linéaire bayésien sous MNAR sévère.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 Médiane/Mode est paradoxalement compétitive sous MNAR</w:t>
      </w:r>
      <w:r>
        <w:t xml:space="preserve"> </w:t>
      </w:r>
      <w:r>
        <w:t xml:space="preserve">(RMSE = 57,94 à 20 %), car elle ne tente pas de modéliser des dépendances qui sont structurellement brisées par le mécanisme MNAR. Ce résultat confirme que</w:t>
      </w:r>
      <w:r>
        <w:t xml:space="preserve"> </w:t>
      </w:r>
      <w:r>
        <w:rPr>
          <w:b/>
          <w:bCs/>
        </w:rPr>
        <w:t xml:space="preserve">sous MNAR, les méthodes sophistiquées n’offrent aucun avantage garanti</w:t>
      </w:r>
      <w:r>
        <w:t xml:space="preserve"> </w:t>
      </w:r>
      <w:r>
        <w:t xml:space="preserve">et qu’une analyse de sensibilité avec modèles de sélection (Heckman, pattern-mixture) est indispensable.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supplément-s10-analyses-de-calibration"/>
    <w:p>
      <w:pPr>
        <w:pStyle w:val="Heading1"/>
      </w:pPr>
      <w:r>
        <w:t xml:space="preserve">SUPPLÉMENT S10 : ANALYSES DE CALIBRATION</w:t>
      </w:r>
    </w:p>
    <w:bookmarkStart w:id="56" w:name="s10.1-résultats"/>
    <w:p>
      <w:pPr>
        <w:pStyle w:val="Heading2"/>
      </w:pPr>
      <w:r>
        <w:t xml:space="preserve">S10.1 Résultats</w:t>
      </w:r>
    </w:p>
    <w:bookmarkStart w:id="54" w:name="X6fbd18bfab26b495a7c319edaaa274a6bee9692"/>
    <w:p>
      <w:pPr>
        <w:pStyle w:val="Heading3"/>
      </w:pPr>
      <w:r>
        <w:t xml:space="preserve">Tableau S10 — Calibration du modèle de prédiction de l’HTA (MCAR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t xml:space="preserve">Hosmer-Lemeshow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0,866</w:t>
            </w:r>
          </w:p>
        </w:tc>
        <w:tc>
          <w:tcPr/>
          <w:p>
            <w:pPr>
              <w:pStyle w:val="Compact"/>
            </w:pPr>
            <w:r>
              <w:t xml:space="preserve">0,145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0,870</w:t>
            </w:r>
          </w:p>
        </w:tc>
        <w:tc>
          <w:tcPr/>
          <w:p>
            <w:pPr>
              <w:pStyle w:val="Compact"/>
            </w:pPr>
            <w:r>
              <w:t xml:space="preserve">0,144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 (BayesianRidge)</w:t>
            </w:r>
          </w:p>
        </w:tc>
        <w:tc>
          <w:tcPr/>
          <w:p>
            <w:pPr>
              <w:pStyle w:val="Compact"/>
            </w:pPr>
            <w:r>
              <w:t xml:space="preserve">0,788</w:t>
            </w:r>
          </w:p>
        </w:tc>
        <w:tc>
          <w:tcPr/>
          <w:p>
            <w:pPr>
              <w:pStyle w:val="Compact"/>
            </w:pPr>
            <w:r>
              <w:t xml:space="preserve">0,184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0,087</w:t>
            </w:r>
          </w:p>
        </w:tc>
        <w:tc>
          <w:tcPr/>
          <w:p>
            <w:pPr>
              <w:pStyle w:val="Compact"/>
            </w:pPr>
            <w:r>
              <w:t xml:space="preserve">&lt;0,001</w:t>
            </w:r>
          </w:p>
        </w:tc>
      </w:tr>
    </w:tbl>
    <w:bookmarkEnd w:id="54"/>
    <w:bookmarkStart w:id="55" w:name="interprétation-5"/>
    <w:p>
      <w:pPr>
        <w:pStyle w:val="Heading3"/>
      </w:pPr>
      <w:r>
        <w:t xml:space="preserve">Interprétation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AUC</w:t>
      </w:r>
      <w:r>
        <w:t xml:space="preserve"> </w:t>
      </w:r>
      <w:r>
        <w:t xml:space="preserve">: MissForest (0,941) excelle, confirmant que la qualité d’imputation se traduit directement en meilleure discrimination diagnostique. La différence d’AUC entre MissForest et MICE (0,153) est cliniquement substantielle.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Brier Score</w:t>
      </w:r>
      <w:r>
        <w:t xml:space="preserve"> </w:t>
      </w:r>
      <w:r>
        <w:t xml:space="preserve">: Plus faible = meilleure calibration. MissForest (0,087) divise par 2 le score de MICE (0,184), indiquant des probabilités prédites plus proches des fréquences observées.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Hosmer-Lemeshow</w:t>
      </w:r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pour toutes les méthodes, indiquant une calibration statistiquement imparfaite — résultat attendu avec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312</m:t>
        </m:r>
      </m:oMath>
      <w:r>
        <w:t xml:space="preserve"> </w:t>
      </w:r>
      <w:r>
        <w:t xml:space="preserve">et un modèle à 25 prédicteurs. Ceci souligne la nécessité d’une</w:t>
      </w:r>
      <w:r>
        <w:t xml:space="preserve"> </w:t>
      </w:r>
      <w:r>
        <w:rPr>
          <w:b/>
          <w:bCs/>
        </w:rPr>
        <w:t xml:space="preserve">validation externe</w:t>
      </w:r>
      <w:r>
        <w:t xml:space="preserve"> </w:t>
      </w:r>
      <w:r>
        <w:t xml:space="preserve">pour évaluer la calibration en population indépendante.</w:t>
      </w:r>
    </w:p>
    <w:p>
      <w:pPr>
        <w:pStyle w:val="FirstParagraph"/>
      </w:pPr>
      <w:r>
        <w:rPr>
          <w:b/>
          <w:bCs/>
        </w:rPr>
        <w:t xml:space="preserve">Figures S10</w:t>
      </w:r>
      <w:r>
        <w:t xml:space="preserve"> </w:t>
      </w:r>
      <w:r>
        <w:t xml:space="preserve">: Courbes ROC et courbes de calibration dans</w:t>
      </w:r>
      <w:r>
        <w:t xml:space="preserve"> </w:t>
      </w:r>
      <w:r>
        <w:rPr>
          <w:rStyle w:val="VerbatimChar"/>
        </w:rPr>
        <w:t xml:space="preserve">figures_v3/roc_curves.png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figures_v3/calibration_curves.png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X433677812420c25bfef5e8c79adbc957d19b5d1"/>
    <w:p>
      <w:pPr>
        <w:pStyle w:val="Heading1"/>
      </w:pPr>
      <w:r>
        <w:t xml:space="preserve">SUPPLÉMENT S11 : VISUALISATIONS COMPLÉMENTAIRES</w:t>
      </w:r>
    </w:p>
    <w:p>
      <w:pPr>
        <w:pStyle w:val="FirstParagraph"/>
      </w:pPr>
      <w:r>
        <w:t xml:space="preserve">Les figures supplémentaires suivantes sont générées (DPI = 300)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Bland-Altman (IMC)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bland_altman_imc.png</w:t>
            </w:r>
          </w:p>
        </w:tc>
        <w:tc>
          <w:tcPr/>
          <w:p>
            <w:pPr>
              <w:pStyle w:val="Compact"/>
            </w:pPr>
            <w:r>
              <w:t xml:space="preserve">Évalue le biais systématique et l’agrément entre IMC original et imputé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Plot (erreurs normalisées)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violin_errors.png</w:t>
            </w:r>
          </w:p>
        </w:tc>
        <w:tc>
          <w:tcPr/>
          <w:p>
            <w:pPr>
              <w:pStyle w:val="Compact"/>
            </w:pPr>
            <w:r>
              <w:t xml:space="preserve">Distribution des erreurs d’imputation par méthode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Plot (log 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forest_plot_or.png</w:t>
            </w:r>
          </w:p>
        </w:tc>
        <w:tc>
          <w:tcPr/>
          <w:p>
            <w:pPr>
              <w:pStyle w:val="Compact"/>
            </w:pPr>
            <w:r>
              <w:t xml:space="preserve">Comparaison visuelle des OR estimés pour l’HTA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QQ-Plot (IMC)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qq_plot_imc.png</w:t>
            </w:r>
          </w:p>
        </w:tc>
        <w:tc>
          <w:tcPr/>
          <w:p>
            <w:pPr>
              <w:pStyle w:val="Compact"/>
            </w:pPr>
            <w:r>
              <w:t xml:space="preserve">Adéquation des valeurs imputées vs réelles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Courbes de convergence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convergence_curves.png</w:t>
            </w:r>
          </w:p>
        </w:tc>
        <w:tc>
          <w:tcPr/>
          <w:p>
            <w:pPr>
              <w:pStyle w:val="Compact"/>
            </w:pPr>
            <w:r>
              <w:t xml:space="preserve">Évolution du RMSE selon le nombre d’itérations pour MICE et MissForest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supplément-s12-analyse-de-robustesse"/>
    <w:p>
      <w:pPr>
        <w:pStyle w:val="Heading1"/>
      </w:pPr>
      <w:r>
        <w:t xml:space="preserve">SUPPLÉMENT S12 : ANALYSE DE ROBUSTESSE</w:t>
      </w:r>
    </w:p>
    <w:bookmarkStart w:id="62" w:name="s12.1-résultats"/>
    <w:p>
      <w:pPr>
        <w:pStyle w:val="Heading2"/>
      </w:pPr>
      <w:r>
        <w:t xml:space="preserve">S12.1 Résultats</w:t>
      </w:r>
    </w:p>
    <w:bookmarkStart w:id="59" w:name="X1048675575c58c51a8904645b6d8453a2547e94"/>
    <w:p>
      <w:pPr>
        <w:pStyle w:val="Heading3"/>
      </w:pPr>
      <w:r>
        <w:t xml:space="preserve">Robustesse aux valeurs extrêmes (IMC &gt; P95, 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MAE outliers</w:t>
            </w:r>
          </w:p>
        </w:tc>
        <w:tc>
          <w:tcPr/>
          <w:p>
            <w:pPr>
              <w:pStyle w:val="Compact"/>
            </w:pPr>
            <w:r>
              <w:t xml:space="preserve">MAE normal</w:t>
            </w:r>
          </w:p>
        </w:tc>
        <w:tc>
          <w:tcPr/>
          <w:p>
            <w:pPr>
              <w:pStyle w:val="Compact"/>
            </w:pPr>
            <w:r>
              <w:t xml:space="preserve">Ratio Outlier/Normal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5,91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4,89</w:t>
            </w:r>
          </w:p>
        </w:tc>
      </w:tr>
    </w:tbl>
    <w:p>
      <w:pPr>
        <w:pStyle w:val="BodyText"/>
      </w:pPr>
      <w:r>
        <w:t xml:space="preserve">MICE présente le ratio outlier/normal le plus faible (1,96), indiquant que l’estimateur BayesianRidge — bien que globalement moins performant — est relativement plus robuste aux valeurs extrêmes que les méthodes non paramétriques. Ceci s’explique par la régularisation bayésienne qui « rétrécit » les prédictions extrêmes vers la moyenne.</w:t>
      </w:r>
    </w:p>
    <w:bookmarkEnd w:id="59"/>
    <w:bookmarkStart w:id="60" w:name="X9ea1886f55034aa0832443f9c384ab41bc89d01"/>
    <w:p>
      <w:pPr>
        <w:pStyle w:val="Heading3"/>
      </w:pPr>
      <w:r>
        <w:t xml:space="preserve">Robustesse aux petits effectifs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MCAR 20 %)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RMSE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312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RMSE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Dégradation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Médiane/Mode</w:t>
            </w:r>
          </w:p>
        </w:tc>
        <w:tc>
          <w:tcPr/>
          <w:p>
            <w:pPr>
              <w:pStyle w:val="Compact"/>
            </w:pPr>
            <w:r>
              <w:t xml:space="preserve">60,5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34,9</w:t>
            </w:r>
          </w:p>
        </w:tc>
        <w:tc>
          <w:tcPr/>
          <w:p>
            <w:pPr>
              <w:pStyle w:val="Compact"/>
            </w:pPr>
            <w:r>
              <w:t xml:space="preserve">−42 %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55,1</w:t>
            </w:r>
          </w:p>
        </w:tc>
        <w:tc>
          <w:tcPr/>
          <w:p>
            <w:pPr>
              <w:pStyle w:val="Compact"/>
            </w:pPr>
            <w:r>
              <w:t xml:space="preserve">51,7</w:t>
            </w:r>
          </w:p>
        </w:tc>
        <w:tc>
          <w:tcPr/>
          <w:p>
            <w:pPr>
              <w:pStyle w:val="Compact"/>
            </w:pPr>
            <w:r>
              <w:t xml:space="preserve">−6 %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70,3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−13 %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MissForest</w:t>
            </w:r>
          </w:p>
        </w:tc>
        <w:tc>
          <w:tcPr/>
          <w:p>
            <w:pPr>
              <w:pStyle w:val="Compact"/>
            </w:pPr>
            <w:r>
              <w:t xml:space="preserve">32,5</w:t>
            </w:r>
          </w:p>
        </w:tc>
        <w:tc>
          <w:tcPr/>
          <w:p>
            <w:pPr>
              <w:pStyle w:val="Compact"/>
            </w:pPr>
            <w:r>
              <w:t xml:space="preserve">41,1</w:t>
            </w:r>
          </w:p>
        </w:tc>
        <w:tc>
          <w:tcPr/>
          <w:p>
            <w:pPr>
              <w:pStyle w:val="Compact"/>
            </w:pPr>
            <w:r>
              <w:t xml:space="preserve">+26 %</w:t>
            </w:r>
          </w:p>
        </w:tc>
      </w:tr>
    </w:tbl>
    <w:p>
      <w:pPr>
        <w:pStyle w:val="BodyText"/>
      </w:pPr>
      <w:r>
        <w:t xml:space="preserve">La Médiane/Mode voit son RMSE</w:t>
      </w:r>
      <w:r>
        <w:t xml:space="preserve"> </w:t>
      </w:r>
      <w:r>
        <w:rPr>
          <w:b/>
          <w:bCs/>
        </w:rPr>
        <w:t xml:space="preserve">diminuer</w:t>
      </w:r>
      <w:r>
        <w:t xml:space="preserve"> </w:t>
      </w:r>
      <w:r>
        <w:t xml:space="preserve">avec la réduction d’échantillon, car l’estimateur (médiane) est plus stable sur de petits échantillons. À l’inverse, MissForest — méthode gourmande en données — se dégrade de 26 % lorsque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 de 312 à 100.</w:t>
      </w:r>
    </w:p>
    <w:bookmarkEnd w:id="60"/>
    <w:bookmarkStart w:id="61" w:name="multicolinéarité"/>
    <w:p>
      <w:pPr>
        <w:pStyle w:val="Heading3"/>
      </w:pPr>
      <w:r>
        <w:t xml:space="preserve">Multicolinéarité</w:t>
      </w:r>
    </w:p>
    <w:p>
      <w:pPr>
        <w:pStyle w:val="FirstParagraph"/>
      </w:pPr>
      <w:r>
        <w:t xml:space="preserve">Aucune variable ne présente de VIF &gt; 10 dans le modèle complet, indiquant une multicolinéarité acceptable. Les paires hautement corrélées (</w:t>
      </w:r>
      <m:oMath>
        <m:r>
          <m:t>r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) identifiées dans l’audit (Glu/lu, Ins/Insu pmol/L) sont des redondances d’unités et n’affectent pas les performances d’imputation.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b255dc72c3a437a9cc09c17b13a9f3ba6ea5f64"/>
    <w:p>
      <w:pPr>
        <w:pStyle w:val="Heading1"/>
      </w:pPr>
      <w:r>
        <w:t xml:space="preserve">SUPPLÉMENT S13 : BIBLIOGRAPHIE COMPLÉMENTAIRE</w:t>
      </w:r>
    </w:p>
    <w:p>
      <w:pPr>
        <w:pStyle w:val="FirstParagraph"/>
      </w:pPr>
      <w:r>
        <w:t xml:space="preserve">Les références fondamentales suivantes sont ajoutées 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Rubin DB.</w:t>
      </w:r>
      <w:r>
        <w:t xml:space="preserve"> </w:t>
      </w:r>
      <w:r>
        <w:rPr>
          <w:i/>
          <w:iCs/>
        </w:rPr>
        <w:t xml:space="preserve">Multiple Imputation for Nonresponse in Surveys.</w:t>
      </w:r>
      <w:r>
        <w:t xml:space="preserve"> </w:t>
      </w:r>
      <w:r>
        <w:t xml:space="preserve">Wiley, 1987. — Fondement théorique de l’imputation multiple et des règles de combinaison.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Little RJA, Rubin DB.</w:t>
      </w:r>
      <w:r>
        <w:t xml:space="preserve"> </w:t>
      </w:r>
      <w:r>
        <w:rPr>
          <w:i/>
          <w:iCs/>
        </w:rPr>
        <w:t xml:space="preserve">Statistical Analysis with Missing Data.</w:t>
      </w:r>
      <w:r>
        <w:t xml:space="preserve"> </w:t>
      </w:r>
      <w:r>
        <w:t xml:space="preserve">3rd ed. Wiley, 2019. — Ouvrage de référence complet sur l’analyse des données manquantes.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Stekhoven DJ, Bühlmann P.</w:t>
      </w:r>
      <w:r>
        <w:t xml:space="preserve"> </w:t>
      </w:r>
      <w:r>
        <w:t xml:space="preserve">MissForest—non-parametric missing value imputation for mixed-type data.</w:t>
      </w:r>
      <w:r>
        <w:t xml:space="preserve"> </w:t>
      </w:r>
      <w:r>
        <w:rPr>
          <w:i/>
          <w:iCs/>
        </w:rPr>
        <w:t xml:space="preserve">Bioinformatics.</w:t>
      </w:r>
      <w:r>
        <w:t xml:space="preserve"> </w:t>
      </w:r>
      <w:r>
        <w:t xml:space="preserve">2012;28(1):112-118. — Article fondateur de l’algorithme MissForest.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van Buuren S.</w:t>
      </w:r>
      <w:r>
        <w:t xml:space="preserve"> </w:t>
      </w:r>
      <w:r>
        <w:rPr>
          <w:i/>
          <w:iCs/>
        </w:rPr>
        <w:t xml:space="preserve">Flexible Imputation of Missing Data.</w:t>
      </w:r>
      <w:r>
        <w:t xml:space="preserve"> </w:t>
      </w:r>
      <w:r>
        <w:t xml:space="preserve">2nd ed. CRC Press, 2018. — Référence exhaustive sur MICE et l’imputation multiple.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Waljee AK, Mukherjee A, Singal AG, et al.</w:t>
      </w:r>
      <w:r>
        <w:t xml:space="preserve"> </w:t>
      </w:r>
      <w:r>
        <w:t xml:space="preserve">Comparison of imputation methods for missing laboratory data in medicine.</w:t>
      </w:r>
      <w:r>
        <w:t xml:space="preserve"> </w:t>
      </w:r>
      <w:r>
        <w:rPr>
          <w:i/>
          <w:iCs/>
        </w:rPr>
        <w:t xml:space="preserve">BMJ Open.</w:t>
      </w:r>
      <w:r>
        <w:t xml:space="preserve"> </w:t>
      </w:r>
      <w:r>
        <w:t xml:space="preserve">2013;3(8):e002847. — Comparaison empirique des méthodes d’imputation en médecine de laboratoire.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Josse J, Prost N, Scornet E, Varoquaux G.</w:t>
      </w:r>
      <w:r>
        <w:t xml:space="preserve"> </w:t>
      </w:r>
      <w:r>
        <w:t xml:space="preserve">On the consistency of supervised learning with missing values.</w:t>
      </w:r>
      <w:r>
        <w:t xml:space="preserve"> </w:t>
      </w:r>
      <w:r>
        <w:rPr>
          <w:i/>
          <w:iCs/>
        </w:rPr>
        <w:t xml:space="preserve">arXiv.</w:t>
      </w:r>
      <w:r>
        <w:t xml:space="preserve"> </w:t>
      </w:r>
      <w:r>
        <w:t xml:space="preserve">2019:1902.06931. — Analyse théorique de la robustesse des méthodes d’apprentissage face aux données manquantes.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Azur MJ, Stuart EA, Frangakis C, Leaf PJ.</w:t>
      </w:r>
      <w:r>
        <w:t xml:space="preserve"> </w:t>
      </w:r>
      <w:r>
        <w:t xml:space="preserve">Multiple imputation by chained equations: what is it and how does it work?</w:t>
      </w:r>
      <w:r>
        <w:t xml:space="preserve"> </w:t>
      </w:r>
      <w:r>
        <w:rPr>
          <w:i/>
          <w:iCs/>
        </w:rPr>
        <w:t xml:space="preserve">Int J Methods Psychiatr Res.</w:t>
      </w:r>
      <w:r>
        <w:t xml:space="preserve"> </w:t>
      </w:r>
      <w:r>
        <w:t xml:space="preserve">2011;20(1):40-49. — Introduction pédagogique à MICE.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Jakobsen JC, Gluud C, Wetterslev J, Winkel P.</w:t>
      </w:r>
      <w:r>
        <w:t xml:space="preserve"> </w:t>
      </w:r>
      <w:r>
        <w:t xml:space="preserve">When and how should multiple imputation be used for handling missing data in randomised clinical trials.</w:t>
      </w:r>
      <w:r>
        <w:t xml:space="preserve"> </w:t>
      </w:r>
      <w:r>
        <w:rPr>
          <w:i/>
          <w:iCs/>
        </w:rPr>
        <w:t xml:space="preserve">BMC Med Res Methodol.</w:t>
      </w:r>
      <w:r>
        <w:t xml:space="preserve"> </w:t>
      </w:r>
      <w:r>
        <w:t xml:space="preserve">2017;17(1):162. — Guide pratique pour l’essai clinique randomisé.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Demsar J.</w:t>
      </w:r>
      <w:r>
        <w:t xml:space="preserve"> </w:t>
      </w:r>
      <w:r>
        <w:t xml:space="preserve">Statistical comparisons of classifiers over multiple data sets.</w:t>
      </w:r>
      <w:r>
        <w:t xml:space="preserve"> </w:t>
      </w:r>
      <w:r>
        <w:rPr>
          <w:i/>
          <w:iCs/>
        </w:rPr>
        <w:t xml:space="preserve">J Mach Learn Res.</w:t>
      </w:r>
      <w:r>
        <w:t xml:space="preserve"> </w:t>
      </w:r>
      <w:r>
        <w:t xml:space="preserve">2006;7:1-30. — Méthodologie de référence pour le test de Friedman et le diagramme de différence critique.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Weissgerber TL, Milic NM, Winham SJ, Garovic VD.</w:t>
      </w:r>
      <w:r>
        <w:t xml:space="preserve"> </w:t>
      </w:r>
      <w:r>
        <w:t xml:space="preserve">Beyond bar and line graphs: time for a new data presentation paradigm.</w:t>
      </w:r>
      <w:r>
        <w:t xml:space="preserve"> </w:t>
      </w:r>
      <w:r>
        <w:rPr>
          <w:i/>
          <w:iCs/>
        </w:rPr>
        <w:t xml:space="preserve">PLoS Biol.</w:t>
      </w:r>
      <w:r>
        <w:t xml:space="preserve"> </w:t>
      </w:r>
      <w:r>
        <w:t xml:space="preserve">2015;13(4):e1002128. — Recommandations pour les visualisations scientifiques modernes.</w:t>
      </w:r>
    </w:p>
    <w:p>
      <w:r>
        <w:pict>
          <v:rect style="width:0;height:1.5pt" o:hralign="center" o:hrstd="t" o:hr="t"/>
        </w:pict>
      </w:r>
    </w:p>
    <w:bookmarkEnd w:id="64"/>
    <w:bookmarkStart w:id="70" w:name="Xd4585ec8fdc8ee499a46df00e48f5d8677f6f42"/>
    <w:p>
      <w:pPr>
        <w:pStyle w:val="Heading1"/>
      </w:pPr>
      <w:r>
        <w:t xml:space="preserve">SUPPLÉMENT S14 : LIMITES — DISCUSSION STRUCTURÉE</w:t>
      </w:r>
    </w:p>
    <w:bookmarkStart w:id="65" w:name="s14.1-limites-statistiques"/>
    <w:p>
      <w:pPr>
        <w:pStyle w:val="Heading2"/>
      </w:pPr>
      <w:r>
        <w:t xml:space="preserve">S14.1 Limites statistiques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Monte Carlo sous-dimensionné</w:t>
      </w:r>
      <w:r>
        <w:t xml:space="preserve"> </w:t>
      </w:r>
      <w:r>
        <w:t xml:space="preserve">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répétitions. Pour des IC robustes,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est recommandé. Les IC rapportés doivent être interprétés comme indicatifs.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Non-indépendance des répétitions</w:t>
      </w:r>
      <w:r>
        <w:t xml:space="preserve"> </w:t>
      </w:r>
      <w:r>
        <w:t xml:space="preserve">: La structure de corrélation intra-classe des répétitions Monte Carlo n’est pas modélisée.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Métriques agrégées</w:t>
      </w:r>
      <w:r>
        <w:t xml:space="preserve"> </w:t>
      </w:r>
      <w:r>
        <w:t xml:space="preserve">: La moyenne des RMSE sur variables hétérogènes (échelles différentes) masque des variations par variable.</w:t>
      </w:r>
    </w:p>
    <w:bookmarkEnd w:id="65"/>
    <w:bookmarkStart w:id="66" w:name="s14.2-limites-algorithmiques"/>
    <w:p>
      <w:pPr>
        <w:pStyle w:val="Heading2"/>
      </w:pPr>
      <w:r>
        <w:t xml:space="preserve">S14.2 Limites algorithmiques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MICE sous-optimal</w:t>
      </w:r>
      <w:r>
        <w:t xml:space="preserve"> </w:t>
      </w:r>
      <w:r>
        <w:t xml:space="preserve">: L’estimateur BayesianRidge de scikit-learn ne reflète pas l’état de l’art de MICE (miceforest avec LightGBM, MICE avec Predictive Mean Matching).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MissForest déterministe</w:t>
      </w:r>
      <w:r>
        <w:t xml:space="preserve"> </w:t>
      </w:r>
      <w:r>
        <w:t xml:space="preserve">: L’imputation est simple (une seule imputation), sans propagation de l’incertitude via imputation multiple.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Absence de deep learning</w:t>
      </w:r>
      <w:r>
        <w:t xml:space="preserve"> </w:t>
      </w:r>
      <w:r>
        <w:t xml:space="preserve">: Les méthodes modernes (GAIN, VAE, AutoEncoder pour données manquantes) n’ont pas été incluses.</w:t>
      </w:r>
    </w:p>
    <w:bookmarkEnd w:id="66"/>
    <w:bookmarkStart w:id="67" w:name="s14.3-limites-cliniques"/>
    <w:p>
      <w:pPr>
        <w:pStyle w:val="Heading2"/>
      </w:pPr>
      <w:r>
        <w:t xml:space="preserve">S14.3 Limites cliniques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Une seule base</w:t>
      </w:r>
      <w:r>
        <w:t xml:space="preserve"> </w:t>
      </w:r>
      <w:r>
        <w:t xml:space="preserve">: Les résultats sont conditionnés à la structure de corrélation de notre cohorte monocentrique.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MCAR/MAR « propres »</w:t>
      </w:r>
      <w:r>
        <w:t xml:space="preserve"> </w:t>
      </w:r>
      <w:r>
        <w:t xml:space="preserve">: Les mécanismes simulés sont plus réguliers que les patrons de manquance réels, souvent mixtes et complexes.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Métriques de reconstruction vs impact clinique</w:t>
      </w:r>
      <w:r>
        <w:t xml:space="preserve"> </w:t>
      </w:r>
      <w:r>
        <w:t xml:space="preserve">: Un RMSE faible ne garantit pas l’absence d’impact sur les décisions thérapeutiques.</w:t>
      </w:r>
    </w:p>
    <w:bookmarkEnd w:id="67"/>
    <w:bookmarkStart w:id="68" w:name="s14.4-limites-computationnelles"/>
    <w:p>
      <w:pPr>
        <w:pStyle w:val="Heading2"/>
      </w:pPr>
      <w:r>
        <w:t xml:space="preserve">S14.4 Limites computationnelles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MissForest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100 s par exécution</w:t>
      </w:r>
      <w:r>
        <w:t xml:space="preserve"> </w:t>
      </w:r>
      <w:r>
        <w:t xml:space="preserve">: Rédhibitoire pour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L’optimisation GPU ou l’approximation par LightGBM sont des pistes.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Monte Carlo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mécanismes non réalisable</w:t>
      </w:r>
      <w:r>
        <w:t xml:space="preserve"> </w:t>
      </w:r>
      <w:r>
        <w:t xml:space="preserve">: Le temps complet pour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et les 3 mécanismes dépasserait 30 heures sur CPU standard.</w:t>
      </w:r>
    </w:p>
    <w:bookmarkEnd w:id="68"/>
    <w:bookmarkStart w:id="69" w:name="s14.5-perspectives"/>
    <w:p>
      <w:pPr>
        <w:pStyle w:val="Heading2"/>
      </w:pPr>
      <w:r>
        <w:t xml:space="preserve">S14.5 Perspectives</w:t>
      </w:r>
    </w:p>
    <w:p>
      <w:pPr>
        <w:pStyle w:val="Compact"/>
        <w:numPr>
          <w:ilvl w:val="0"/>
          <w:numId w:val="1014"/>
        </w:numPr>
      </w:pPr>
      <w:r>
        <w:t xml:space="preserve">Implémentation de</w:t>
      </w:r>
      <w:r>
        <w:t xml:space="preserve"> </w:t>
      </w:r>
      <w:r>
        <w:rPr>
          <w:b/>
          <w:bCs/>
        </w:rPr>
        <w:t xml:space="preserve">MissForest avec imputation multiple</w:t>
      </w:r>
      <w:r>
        <w:t xml:space="preserve"> </w:t>
      </w:r>
      <w:r>
        <w:t xml:space="preserve">(bootstrap + règles de Rubin)</w:t>
      </w:r>
    </w:p>
    <w:p>
      <w:pPr>
        <w:pStyle w:val="Compact"/>
        <w:numPr>
          <w:ilvl w:val="0"/>
          <w:numId w:val="1014"/>
        </w:numPr>
      </w:pPr>
      <w:r>
        <w:t xml:space="preserve">Intégration des méthodes de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 </w:t>
      </w:r>
      <w:r>
        <w:t xml:space="preserve">(GAIN, MIWAE, not-MIWAE)</w:t>
      </w:r>
    </w:p>
    <w:p>
      <w:pPr>
        <w:pStyle w:val="Compact"/>
        <w:numPr>
          <w:ilvl w:val="0"/>
          <w:numId w:val="1014"/>
        </w:numPr>
      </w:pPr>
      <w:r>
        <w:t xml:space="preserve">Extension à des données de</w:t>
      </w:r>
      <w:r>
        <w:t xml:space="preserve"> </w:t>
      </w:r>
      <w:r>
        <w:rPr>
          <w:b/>
          <w:bCs/>
        </w:rPr>
        <w:t xml:space="preserve">survie</w:t>
      </w:r>
      <w:r>
        <w:t xml:space="preserve"> </w:t>
      </w:r>
      <w:r>
        <w:t xml:space="preserve">(modèle de Cox avec imputation)</w:t>
      </w:r>
    </w:p>
    <w:p>
      <w:pPr>
        <w:pStyle w:val="Compact"/>
        <w:numPr>
          <w:ilvl w:val="0"/>
          <w:numId w:val="1014"/>
        </w:numPr>
      </w:pPr>
      <w:r>
        <w:t xml:space="preserve">Développement d’un</w:t>
      </w:r>
      <w:r>
        <w:t xml:space="preserve"> </w:t>
      </w:r>
      <w:r>
        <w:rPr>
          <w:b/>
          <w:bCs/>
        </w:rPr>
        <w:t xml:space="preserve">package Python unifié</w:t>
      </w:r>
      <w:r>
        <w:t xml:space="preserve"> </w:t>
      </w:r>
      <w:r>
        <w:t xml:space="preserve">pour la simulation et l’évaluation de méthodes d’imputation en recherche clinique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Benchmark multicentrique</w:t>
      </w:r>
      <w:r>
        <w:t xml:space="preserve"> </w:t>
      </w:r>
      <w:r>
        <w:t xml:space="preserve">sur 5–10 cohortes indépendantes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Code source du supplément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supplement_v3.py</w:t>
      </w:r>
      <w:r>
        <w:br/>
      </w:r>
      <w:r>
        <w:rPr>
          <w:i/>
          <w:iCs/>
        </w:rPr>
        <w:t xml:space="preserve">Données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outputs_v3/</w:t>
      </w:r>
      <w:r>
        <w:br/>
      </w:r>
      <w:r>
        <w:rPr>
          <w:i/>
          <w:iCs/>
        </w:rPr>
        <w:t xml:space="preserve">Figures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figures_v3/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2026-07-22T06:48:39Z</dcterms:created>
  <dcterms:modified xsi:type="dcterms:W3CDTF">2026-07-22T06:48:39Z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