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/>
          <w:b/>
          <w:color w:val="123C35"/>
          <w:sz w:val="36"/>
        </w:rPr>
        <w:t>Noesis</w:t>
      </w:r>
    </w:p>
    <w:p>
      <w:pPr>
        <w:spacing w:after="360"/>
      </w:pPr>
      <w:r>
        <w:rPr>
          <w:rFonts w:ascii="Aptos" w:hAnsi="Aptos"/>
          <w:color w:val="6D746F"/>
          <w:sz w:val="19"/>
        </w:rPr>
        <w:t>Arquitectura operativa per empreses</w:t>
      </w:r>
    </w:p>
    <w:p>
      <w:pPr>
        <w:spacing w:after="80"/>
      </w:pPr>
      <w:r>
        <w:rPr>
          <w:rFonts w:ascii="Georgia" w:hAnsi="Georgia"/>
          <w:b/>
          <w:color w:val="123C35"/>
          <w:sz w:val="54"/>
        </w:rPr>
        <w:t>Normes de correu</w:t>
      </w:r>
    </w:p>
    <w:p>
      <w:pPr>
        <w:spacing w:after="320"/>
      </w:pPr>
      <w:r>
        <w:rPr>
          <w:rFonts w:ascii="Aptos" w:hAnsi="Aptos"/>
          <w:color w:val="6D746F"/>
          <w:sz w:val="22"/>
        </w:rPr>
        <w:t>Guia interna per mantenir una veu comercial coherent, humana i professional.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BFA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Ús</w:t>
              <w:br/>
              <w:t>Intern</w:t>
            </w:r>
          </w:p>
        </w:tc>
        <w:tc>
          <w:tcPr>
            <w:tcW w:type="dxa" w:w="3400"/>
            <w:shd w:fill="FBFA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Marca</w:t>
              <w:br/>
              <w:t>Noesis</w:t>
            </w:r>
          </w:p>
        </w:tc>
        <w:tc>
          <w:tcPr>
            <w:tcW w:type="dxa" w:w="3400"/>
            <w:shd w:fill="FBFA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Versió</w:t>
              <w:br/>
              <w:t>1.0</w:t>
            </w:r>
          </w:p>
        </w:tc>
      </w:tr>
    </w:tbl>
    <w:p/>
    <w:p>
      <w:pPr>
        <w:pStyle w:val="Heading1"/>
        <w:spacing w:before="280" w:after="120"/>
      </w:pPr>
      <w:r>
        <w:t>Principi</w:t>
      </w:r>
    </w:p>
    <w:p>
      <w:pPr>
        <w:spacing w:after="140" w:line="269" w:lineRule="auto"/>
      </w:pPr>
      <w:r>
        <w:t>Cada correu ha de transmetre que Noesis ha mirat el negoci amb criteri i que escriu perquè hi pot haver una millora concreta.</w:t>
      </w:r>
    </w:p>
    <w:p>
      <w:pPr>
        <w:pStyle w:val="Heading1"/>
        <w:spacing w:before="280" w:after="120"/>
      </w:pPr>
      <w:r>
        <w:t>To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clar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proper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professional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breu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amb criteri empresarial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sense llenguatge tècnic innecessari</w:t>
      </w:r>
    </w:p>
    <w:p>
      <w:pPr>
        <w:pStyle w:val="Heading1"/>
        <w:spacing w:before="280" w:after="120"/>
      </w:pPr>
      <w:r>
        <w:t>Paraules recomanades</w:t>
      </w:r>
    </w:p>
    <w:p>
      <w:pPr>
        <w:spacing w:after="140" w:line="269" w:lineRule="auto"/>
      </w:pPr>
      <w:r>
        <w:t>processos, operativa, fricció, sistema digital, criteri, temps recuperable, ordre, impacte mesurable, seguiment manual, informació dispersa, diagnosi operativa.</w:t>
      </w:r>
    </w:p>
    <w:p>
      <w:pPr>
        <w:pStyle w:val="Heading1"/>
        <w:spacing w:before="280" w:after="120"/>
      </w:pPr>
      <w:r>
        <w:t>Paraules a evitar</w:t>
      </w:r>
    </w:p>
    <w:p>
      <w:pPr>
        <w:spacing w:after="140" w:line="269" w:lineRule="auto"/>
      </w:pPr>
      <w:r>
        <w:t>IA com a reclam principal, revolucionari, màgic, automatització total, garantit, robot, algoritme, eina definitiva.</w:t>
      </w:r>
    </w:p>
    <w:p>
      <w:pPr>
        <w:pStyle w:val="Heading1"/>
        <w:spacing w:before="280" w:after="120"/>
      </w:pPr>
      <w:r>
        <w:t>Estructura del primer correu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presentació curta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context concret del negoci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hipòtesi de fricció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què pot aportar Noesis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proposta suau de conversa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tancament respectuós</w:t>
      </w:r>
    </w:p>
    <w:sectPr w:rsidR="00FC693F" w:rsidRPr="0006063C" w:rsidSect="00034616">
      <w:head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23C35"/>
        <w:sz w:val="22"/>
      </w:rPr>
      <w:t>Noesis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7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23C3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23C3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