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NSC Caelus AI - System Specification (v1)</w:t>
      </w:r>
    </w:p>
    <w:p>
      <w:pPr>
        <w:jc w:val="center"/>
      </w:pPr>
      <w:r>
        <w:t>Generated 2026-02-01</w:t>
      </w:r>
    </w:p>
    <w:p/>
    <w:p>
      <w:r>
        <w:t>This document specifies the NSC Caelus AI architecture as an audit-grade, tool-using, tag-routed system with gates/rails and tiered memory. It is written to be testable: every major component has measurable acceptance criteria and required artifacts (receipts).</w:t>
      </w:r>
    </w:p>
    <w:p/>
    <w:p>
      <w:pPr>
        <w:pStyle w:val="Heading1"/>
      </w:pPr>
      <w:r>
        <w:t>1. Mission Lock</w:t>
      </w:r>
    </w:p>
    <w:p>
      <w:r>
        <w:t>Objective: Deliver a reliable 'smart solver' that can (a) plan and execute tool-using workflows, (b) preserve causality and safety constraints via gates/rails, and (c) accumulate audit-grade evidence for every meaningful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Primary KPI</w:t>
            </w:r>
          </w:p>
        </w:tc>
        <w:tc>
          <w:tcPr>
            <w:tcW w:type="dxa" w:w="4824"/>
          </w:tcPr>
          <w:p>
            <w:r>
              <w:t>Tool-use success rate (offline + shadow)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824"/>
          </w:tcPr>
          <w:p>
            <w:r>
              <w:t>&gt;= 0.85 over 7-day window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Guardrail 1</w:t>
            </w:r>
          </w:p>
        </w:tc>
        <w:tc>
          <w:tcPr>
            <w:tcW w:type="dxa" w:w="4824"/>
          </w:tcPr>
          <w:p>
            <w:r>
              <w:t>Hallucination rate &lt;= 0.03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Guardrail 2</w:t>
            </w:r>
          </w:p>
        </w:tc>
        <w:tc>
          <w:tcPr>
            <w:tcW w:type="dxa" w:w="4824"/>
          </w:tcPr>
          <w:p>
            <w:r>
              <w:t>p95 latency &lt;= 1.8 seconds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4824"/>
          </w:tcPr>
          <w:p>
            <w:r>
              <w:t>Deterministic replay; strict schema validation; privacy scope enforcement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Operating env</w:t>
            </w:r>
          </w:p>
        </w:tc>
        <w:tc>
          <w:tcPr>
            <w:tcW w:type="dxa" w:w="4824"/>
          </w:tcPr>
          <w:p>
            <w:r>
              <w:t>Offline evaluation -&gt; shadow mode -&gt; online A/B with rollback</w:t>
            </w:r>
          </w:p>
        </w:tc>
      </w:tr>
    </w:tbl>
    <w:p/>
    <w:p>
      <w:pPr>
        <w:pStyle w:val="Heading1"/>
      </w:pPr>
      <w:r>
        <w:t>2. System Overview</w:t>
      </w:r>
    </w:p>
    <w:p>
      <w:r>
        <w:t>Caelus is organized as a layered control system: orchestration (PhaseLoom), enforcement (Gates/Rails), memory (Aeonic tiers), and evidence capture (Receipt Ledger). NSC tags provide a shared 'semantic bus' between layers, enabling fast routing, slice-aware evaluation, and policy enforcement.</w:t>
      </w:r>
    </w:p>
    <w:p>
      <w:pPr>
        <w:pStyle w:val="Heading2"/>
      </w:pPr>
      <w:r>
        <w:t>2.1 Core components</w:t>
      </w:r>
    </w:p>
    <w:p>
      <w:r>
        <w:t>PhaseLoom Orchestrator: schedules work across concurrent threads (planning, retrieval, tool calls, verification) and enforces deterministic replay via fixed decoding parameters, stable tool contracts, and run receipts.</w:t>
      </w:r>
    </w:p>
    <w:p>
      <w:r>
        <w:t>Gates/Rails: guards that either allow, warn, block, reroute, or defer actions. Rails are hard invariants (e.g., no-future-leak) that cannot be overridden by the model.</w:t>
      </w:r>
    </w:p>
    <w:p>
      <w:r>
        <w:t>Aeonic Memory Bank: a tiered memory system with explicit retention, privacy policy, and provenance for each record.</w:t>
      </w:r>
    </w:p>
    <w:p>
      <w:r>
        <w:t>Receipt Ledger: immutable log of inputs, outputs, hashes, environment, and metrics, used to support claims in the experiment DAG.</w:t>
      </w:r>
    </w:p>
    <w:p>
      <w:pPr>
        <w:pStyle w:val="Heading1"/>
      </w:pPr>
      <w:r>
        <w:t>3. Definitions Ledger</w:t>
      </w:r>
    </w:p>
    <w:p>
      <w:r>
        <w:t>The definition ledger is the single source of truth for: task definitions, ground truth semantics, dataset versions/splits, model interfaces, and evaluation protocol. Changes to the ledger require a receipt and version bump.</w:t>
      </w:r>
    </w:p>
    <w:p>
      <w:pPr>
        <w:pStyle w:val="Heading2"/>
      </w:pPr>
      <w:r>
        <w:t>3.1 Canonical task types</w:t>
      </w:r>
    </w:p>
    <w:p>
      <w:r>
        <w:t>Planning: produce an executable plan with explicit tool steps and stop conditions.</w:t>
      </w:r>
    </w:p>
    <w:p>
      <w:r>
        <w:t>Retrieval: fetch external or internal artifacts; must include provenance references.</w:t>
      </w:r>
    </w:p>
    <w:p>
      <w:r>
        <w:t>Generation: synthesize text/code/artifacts; must declare uncertainty if evidence is missing.</w:t>
      </w:r>
    </w:p>
    <w:p>
      <w:r>
        <w:t>Verification: validate outputs via tests, hash checks, invariants, or independent solvers.</w:t>
      </w:r>
    </w:p>
    <w:p>
      <w:pPr>
        <w:pStyle w:val="Heading2"/>
      </w:pPr>
      <w:r>
        <w:t>3.2 Model interface contract</w:t>
      </w:r>
    </w:p>
    <w:p>
      <w:r>
        <w:t>Inputs: (a) user request, (b) current context + allowed tools, (c) NSC tag context, (d) relevant memory slices (explicit).</w:t>
      </w:r>
    </w:p>
    <w:p>
      <w:r>
        <w:t>Outputs: (a) user-facing result, (b) internal tool calls, (c) receipts and tag events, (d) updated memory records (if permitted).</w:t>
      </w:r>
    </w:p>
    <w:p>
      <w:pPr>
        <w:pStyle w:val="Heading1"/>
      </w:pPr>
      <w:r>
        <w:t>4. NSC Tag System</w:t>
      </w:r>
    </w:p>
    <w:p>
      <w:r>
        <w:t>NSC tags are short, composable labels that annotate: requests, intermediate states, tool calls, decisions, artifacts, and claims. Tags are stable identifiers (ASCII) in a small ontology. They are not free-form 'vibes'; each tag has a meaning and allowed attachment targets.</w:t>
      </w:r>
    </w:p>
    <w:p>
      <w:pPr>
        <w:pStyle w:val="Heading2"/>
      </w:pPr>
      <w:r>
        <w:t>4.1 Tag algebra</w:t>
      </w:r>
    </w:p>
    <w:p>
      <w:r>
        <w:t>Tags support intersection and implication rules. Example: safety:causality implies gate_no_future_leak must run on every retrieval and tool output. gate:verified implies schema and hash checks passed.</w:t>
      </w:r>
    </w:p>
    <w:p>
      <w:r>
        <w:t>Routing rule example: if domain=math_physics and tags include nsc:claim, prioritize verification thread and require numeric checks before final response.</w:t>
      </w:r>
    </w:p>
    <w:p>
      <w:pPr>
        <w:pStyle w:val="Heading2"/>
      </w:pPr>
      <w:r>
        <w:t>4.2 Tag lifecycle</w:t>
      </w:r>
    </w:p>
    <w:p>
      <w:r>
        <w:t>Creation: tags originate from deterministic rules (preferred) or human annotation. Every tag creation emits a TagEvent with evidence and confidence.</w:t>
      </w:r>
    </w:p>
    <w:p>
      <w:r>
        <w:t>Decay: tags expire by TTL policy unless promoted by receipts to retained class.</w:t>
      </w:r>
    </w:p>
    <w:p>
      <w:r>
        <w:t>Audit: all tag events are queryable and replayable from receipts.</w:t>
      </w:r>
    </w:p>
    <w:p>
      <w:pPr>
        <w:pStyle w:val="Heading1"/>
      </w:pPr>
      <w:r>
        <w:t>5. Gates and Rails</w:t>
      </w:r>
    </w:p>
    <w:p>
      <w:r>
        <w:t>Gates produce structured decisions (GateDecision) that can alter or stop execution. Rails are non-negotiable safety and correctness invariants implemented as always-on gates.</w:t>
      </w:r>
    </w:p>
    <w:p>
      <w:pPr>
        <w:pStyle w:val="Heading2"/>
      </w:pPr>
      <w:r>
        <w:t>5.1 Required gates</w:t>
      </w:r>
    </w:p>
    <w:p>
      <w:r>
        <w:t>gate_schema_validation: every tool output and memory write must validate against schema.</w:t>
      </w:r>
    </w:p>
    <w:p>
      <w:r>
        <w:t>gate_no_future_leak: prohibits using information timestamped after the task context time.</w:t>
      </w:r>
    </w:p>
    <w:p>
      <w:r>
        <w:t>gate_privacy_scope: enforces PII classification and allowed_scopes; blocks unsafe writes or disclosures.</w:t>
      </w:r>
    </w:p>
    <w:p>
      <w:r>
        <w:t>gate_dimensional_consistency (physics domains): checks unit consistency and range sanity for numeric outputs.</w:t>
      </w:r>
    </w:p>
    <w:p>
      <w:pPr>
        <w:pStyle w:val="Heading2"/>
      </w:pPr>
      <w:r>
        <w:t>5.2 Gate outcomes</w:t>
      </w:r>
    </w:p>
    <w:p>
      <w:r>
        <w:t>allow: proceed. warn: proceed but annotate and require verification step. block: stop and return safe failure. reroute: switch tool or strategy. defer: request human review or more information.</w:t>
      </w:r>
    </w:p>
    <w:p>
      <w:pPr>
        <w:pStyle w:val="Heading1"/>
      </w:pPr>
      <w:r>
        <w:t>6. Aeonic Memory Bank</w:t>
      </w:r>
    </w:p>
    <w:p>
      <w:r>
        <w:t>Memory is explicit, tiered, and policy-governed. The system never 'implicitly remembers' something without creating a MemoryRecord that has provenance and retention.</w:t>
      </w:r>
    </w:p>
    <w:p>
      <w:pPr>
        <w:pStyle w:val="Heading2"/>
      </w:pPr>
      <w:r>
        <w:t>6.1 Tiers</w:t>
      </w:r>
    </w:p>
    <w:p>
      <w:r>
        <w:t>L0 Ephemeral: per-step scratch; discarded after completion.</w:t>
      </w:r>
    </w:p>
    <w:p>
      <w:r>
        <w:t>L1 Working: session memory; compaction allowed.</w:t>
      </w:r>
    </w:p>
    <w:p>
      <w:r>
        <w:t>L2 Project: long-lived context; requires receipts for promotion; used for ongoing engineering work.</w:t>
      </w:r>
    </w:p>
    <w:p>
      <w:r>
        <w:t>L3 Canonical: audited facts and definitions; write access is gated and rare.</w:t>
      </w:r>
    </w:p>
    <w:p>
      <w:pPr>
        <w:pStyle w:val="Heading2"/>
      </w:pPr>
      <w:r>
        <w:t>6.2 Write policy</w:t>
      </w:r>
    </w:p>
    <w:p>
      <w:r>
        <w:t>All writes require: schema validation, provenance refs, privacy classification, and retention policy. Writes without these are blocked.</w:t>
      </w:r>
    </w:p>
    <w:p>
      <w:pPr>
        <w:pStyle w:val="Heading2"/>
      </w:pPr>
      <w:r>
        <w:t>6.3 Compaction</w:t>
      </w:r>
    </w:p>
    <w:p>
      <w:r>
        <w:t>Compaction is a transformation with its own receipt: input record hashes -&gt; output record hash, plus a diff summary and loss budget.</w:t>
      </w:r>
    </w:p>
    <w:p>
      <w:pPr>
        <w:pStyle w:val="Heading1"/>
      </w:pPr>
      <w:r>
        <w:t>7. Receipt Ledger and Experiment DAG</w:t>
      </w:r>
    </w:p>
    <w:p>
      <w:r>
        <w:t>Every meaningful result must be backed by a receipt. Receipts are immutable records that bind: datasets, code, configs, seeds, and produced artifacts.</w:t>
      </w:r>
    </w:p>
    <w:p>
      <w:pPr>
        <w:pStyle w:val="Heading2"/>
      </w:pPr>
      <w:r>
        <w:t>7.1 Node types</w:t>
      </w:r>
    </w:p>
    <w:p>
      <w:r>
        <w:t>Dataset node: source -&gt; filtering -&gt; dedupe -&gt; split -&gt; hash.</w:t>
      </w:r>
    </w:p>
    <w:p>
      <w:r>
        <w:t>Model node: architecture -&gt; init -&gt; training recipe -&gt; checkpoint id.</w:t>
      </w:r>
    </w:p>
    <w:p>
      <w:r>
        <w:t>Eval node: benchmark -&gt; prompts -&gt; scorer -&gt; aggregated metrics.</w:t>
      </w:r>
    </w:p>
    <w:p>
      <w:r>
        <w:t>Claim node: statement + KPI + guardrails + conditions + evidence refs.</w:t>
      </w:r>
    </w:p>
    <w:p>
      <w:pPr>
        <w:pStyle w:val="Heading2"/>
      </w:pPr>
      <w:r>
        <w:t>7.2 Acceptance criteria</w:t>
      </w:r>
    </w:p>
    <w:p>
      <w:r>
        <w:t>No claim may be marked 'tested' without: (a) an EvalRun artifact, (b) a Receipt referencing that run, (c) schema-valid hashes for all inputs/outputs, and (d) guardrails within limits.</w:t>
      </w:r>
    </w:p>
    <w:p>
      <w:pPr>
        <w:pStyle w:val="Heading1"/>
      </w:pPr>
      <w:r>
        <w:t>8. Reference Integration: Smart GR Solver</w:t>
      </w:r>
    </w:p>
    <w:p>
      <w:r>
        <w:t>The smart GR solver is a reference domain integration demonstrating: deterministic scheduling, constraint enforcement, and audit-grade outputs. It is treated as a high-rigor domain where invariants are explicit (constraints, gauge conditions, stability limits).</w:t>
      </w:r>
    </w:p>
    <w:p>
      <w:pPr>
        <w:pStyle w:val="Heading2"/>
      </w:pPr>
      <w:r>
        <w:t>8.1 Required properties</w:t>
      </w:r>
    </w:p>
    <w:p>
      <w:r>
        <w:t>Deterministic replay: same initial conditions + same code/config seed -&gt; statistically consistent results within tolerance.</w:t>
      </w:r>
    </w:p>
    <w:p>
      <w:r>
        <w:t>Constraint checks: Hamiltonian and momentum constraint norms logged each step; gate triggers on divergence.</w:t>
      </w:r>
    </w:p>
    <w:p>
      <w:r>
        <w:t>Evidence capture: every simulation run emits receipts with parameter hashes, code commit, and resulting metrics.</w:t>
      </w:r>
    </w:p>
    <w:p>
      <w:pPr>
        <w:pStyle w:val="Heading1"/>
      </w:pPr>
      <w:r>
        <w:t>9. Deployment Reality</w:t>
      </w:r>
    </w:p>
    <w:p>
      <w:r>
        <w:t>Caelus is deployed as a service with strict observability. Production mode requires shadow testing, alerting, and rollback paths.</w:t>
      </w:r>
    </w:p>
    <w:p>
      <w:pPr>
        <w:pStyle w:val="Heading2"/>
      </w:pPr>
      <w:r>
        <w:t>9.1 Monitoring requirements</w:t>
      </w:r>
    </w:p>
    <w:p>
      <w:r>
        <w:t>See runbooks/deployment_observability.md for minimum dashboards and alerts.</w:t>
      </w:r>
    </w:p>
    <w:p>
      <w:pPr>
        <w:pStyle w:val="Heading2"/>
      </w:pPr>
      <w:r>
        <w:t>9.2 Rollback plan</w:t>
      </w:r>
    </w:p>
    <w:p>
      <w:r>
        <w:t>Rollback is triggered when primary KPI drops below threshold or a P0 safety gate violation occurs. Rollback must restore the last known-good model_id and routing policy bundle, and freeze L2/L3 memory writes until audit completes.</w:t>
      </w:r>
    </w:p>
    <w:p>
      <w:pPr>
        <w:pStyle w:val="Heading1"/>
      </w:pPr>
      <w:r>
        <w:t>10. References</w:t>
      </w:r>
    </w:p>
    <w:p>
      <w:r>
        <w:t>Glenn, Jerome. Foresight on Demand: 'Foresight Towards the 2nd Strategic Plan for Horizon Europe' - Artificial General Intelligence: Issues and Opportunities (Rapid Exploration). The Millennium Project, Feb 2023.</w:t>
      </w:r>
    </w:p>
    <w:p>
      <w:r>
        <w:t>Wang, Pei. The Evaluation of AGI Systems. Temple University preprint (undated).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NSC Caelus AI - Specification v1 | Generated 2026-02-01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