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p38α/MAPK14 is one of four vertebrate p38 stress-activated protein kinase isoforms (α, β, γ, δ).</w:t>
      </w:r>
      <w:r>
        <w:br/>
      </w:r>
      <w:r>
        <w:t xml:space="preserve">• Closely related to the yeast HOG1 kinase and shows ≈50 % sequence identity with ERK2.</w:t>
      </w:r>
      <w:r>
        <w:br/>
      </w:r>
      <w:r>
        <w:t xml:space="preserve">• Forms a distinct branch within the CMGC serine/threonine kinase group; dual-phosphorylation motifs and docking residues are highly conserved.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H⁺ + O-phospho-L-seryl/threonyl-[protein]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Strong preference for Ser/Thr followed by Pro (S/T-P motif).</w:t>
      </w:r>
      <w:r>
        <w:br/>
      </w:r>
      <w:r>
        <w:t xml:space="preserve">• Docking interactions broaden the spectrum to roughly 200–300 substrates, including ATF1, ATF2, MEF2, Elk-1, TP53, and the kinases MK2, MK3, MNK1, MNK2.</w:t>
      </w:r>
    </w:p>
    <w:p>
      <w:pPr>
        <w:pStyle w:val="BodyText"/>
      </w:pPr>
      <w:r>
        <w:t xml:space="preserve">Structure</w:t>
      </w:r>
      <w:r>
        <w:br/>
      </w:r>
      <w:r>
        <w:t xml:space="preserve">• Typical bilobed CMGC kinase core (β-sheet N-lobe, α-helical C-lobe).</w:t>
      </w:r>
      <w:r>
        <w:br/>
      </w:r>
      <w:r>
        <w:t xml:space="preserve">• Activation loop contains a TGY motif; dual phosphorylation triggers the active conformation.</w:t>
      </w:r>
      <w:r>
        <w:br/>
      </w:r>
      <w:r>
        <w:t xml:space="preserve">• Well-defined ATP-binding cleft, hydrophobic spine, and C-helix residues; isoform-specific docking sites distinguish p38α from its paralogs.</w:t>
      </w:r>
    </w:p>
    <w:p>
      <w:pPr>
        <w:pStyle w:val="BodyText"/>
      </w:pPr>
      <w:r>
        <w:t xml:space="preserve">Regulation</w:t>
      </w:r>
      <w:r>
        <w:br/>
      </w:r>
      <w:r>
        <w:t xml:space="preserve">• Activated by MKK3/MKK6-mediated phosphorylation of Thr183 and Tyr185 in response to UV, oxidative stress and inflammatory cytokines.</w:t>
      </w:r>
      <w:r>
        <w:br/>
      </w:r>
      <w:r>
        <w:t xml:space="preserve">• Activated kinase shuttles from cytoplasm to nucleus.</w:t>
      </w:r>
      <w:r>
        <w:br/>
      </w:r>
      <w:r>
        <w:t xml:space="preserve">• Dephosphorylated and inactivated by MAPK phosphatases; interaction with casein kinase II modulates autophosphorylation.</w:t>
      </w:r>
    </w:p>
    <w:p>
      <w:pPr>
        <w:pStyle w:val="BodyText"/>
      </w:pPr>
      <w:r>
        <w:t xml:space="preserve">Function</w:t>
      </w:r>
      <w:r>
        <w:br/>
      </w:r>
      <w:r>
        <w:t xml:space="preserve">• Key effector in stress and pro-inflammatory signalling.</w:t>
      </w:r>
      <w:r>
        <w:br/>
      </w:r>
      <w:r>
        <w:t xml:space="preserve">• Phosphorylates transcription factors (ATF1/2, MEF2, Elk-1, TP53) to drive immediate-early gene expression and chromatin remodelling.</w:t>
      </w:r>
      <w:r>
        <w:br/>
      </w:r>
      <w:r>
        <w:t xml:space="preserve">• Acts on downstream kinases (MK2/3, MNK1/2) and cytoplasmic proteins such as SIAH2 and ADAM17, influencing inflammation, cell-cycle control, protein degradation and receptor endocytosis.</w:t>
      </w:r>
    </w:p>
    <w:p>
      <w:pPr>
        <w:pStyle w:val="BodyText"/>
      </w:pPr>
      <w:r>
        <w:t xml:space="preserve">Inhibitors</w:t>
      </w:r>
      <w:r>
        <w:br/>
      </w:r>
      <w:r>
        <w:t xml:space="preserve">• Widely used ATP-competitive inhibitors include SB203580 and SB202190.</w:t>
      </w:r>
    </w:p>
    <w:p>
      <w:pPr>
        <w:pStyle w:val="BodyText"/>
      </w:pPr>
      <w:r>
        <w:t xml:space="preserve">Other Comments</w:t>
      </w:r>
      <w:r>
        <w:br/>
      </w:r>
      <w:r>
        <w:t xml:space="preserve">• Aberrant MAPK14 activity is linked to inflammatory diseases, cancers and developmental anomalies, making it a continuing focus for therapeutic development.</w:t>
      </w:r>
    </w:p>
    <w:p>
      <w:pPr>
        <w:pStyle w:val="BodyText"/>
      </w:pPr>
      <w:r>
        <w:t xml:space="preserve">References</w:t>
      </w:r>
      <w:r>
        <w:br/>
      </w:r>
      <w:r>
        <w:t xml:space="preserve">• cargnello2011activationandfunction pp 4-5, 19-20, 23-25</w:t>
      </w:r>
      <w:r>
        <w:br/>
      </w:r>
      <w:r>
        <w:t xml:space="preserve">• martinblanco2000p38mapksignalling pp 1-3</w:t>
      </w:r>
      <w:r>
        <w:br/>
      </w:r>
      <w:r>
        <w:t xml:space="preserve">• widmann1999mitogenactivatedproteinkinase pp 1-2, 5-6, 22-25</w:t>
      </w:r>
      <w:r>
        <w:br/>
      </w:r>
      <w:r>
        <w:t xml:space="preserve">• kultz1998phylogeneticandfunctional pp 2-3</w:t>
      </w:r>
      <w:r>
        <w:br/>
      </w:r>
      <w:r>
        <w:t xml:space="preserve">• orand2023revealingthemechanism pp 25-29, 33-38, 38-41, 41-45</w:t>
      </w:r>
      <w:r>
        <w:br/>
      </w:r>
      <w:r>
        <w:t xml:space="preserve">• theodosiou2002mapkinasephosphatases pp 1-2</w:t>
      </w:r>
      <w:r>
        <w:br/>
      </w:r>
      <w:r>
        <w:t xml:space="preserve">• roux2004erkandp38 pp 16-18</w:t>
      </w:r>
      <w:r>
        <w:br/>
      </w:r>
      <w:r>
        <w:t xml:space="preserve">• new1998prakanovel pp 1-3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2025-06-20T19:09:47Z</dcterms:created>
  <dcterms:modified xsi:type="dcterms:W3CDTF">2025-06-20T19:09:47Z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