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phylogeny"/>
    <w:p>
      <w:pPr>
        <w:pStyle w:val="Heading2"/>
      </w:pPr>
      <w:r>
        <w:t xml:space="preserve">Phylogeny</w:t>
      </w:r>
    </w:p>
    <w:p>
      <w:pPr>
        <w:pStyle w:val="FirstParagraph"/>
      </w:pPr>
      <w:r>
        <w:t xml:space="preserve">MAPK14 (p38 α) is a member of the p38 sub-family of stress-activated protein kinases (SAPKs) that also includes p38 β, p38 γ and p38 δ. The four paralogues form a distinct branch within the CMGC group of serine/threonine kinases and descend from the yeast stress-responsive HOG1 kinase (Cargnello &amp; Roux, 2011, pp. 4–5; Martín-Blanco, 2000, pp. 1–2; Widmann et al., 1999, pp. 5–6). Approximately 50 % sequence identity with ERK2 and conservation of the dual-phosphorylation TGY motif indicate deep evolutionary conservation across vertebrates (Kültz, 1998, pp. 2–3; Widmann et al., 1999, pp. 5–6).</w:t>
      </w:r>
    </w:p>
    <w:bookmarkEnd w:id="9"/>
    <w:bookmarkStart w:id="10" w:name="reaction-catalyzed"/>
    <w:p>
      <w:pPr>
        <w:pStyle w:val="Heading2"/>
      </w:pPr>
      <w:r>
        <w:t xml:space="preserve">Reaction Catalyzed</w:t>
      </w:r>
    </w:p>
    <w:p>
      <w:pPr>
        <w:pStyle w:val="FirstParagraph"/>
      </w:pPr>
      <w:r>
        <w:t xml:space="preserve">ATP + L-seryl/threonyl-[protein] ⇌ ADP + H⁺ + O-phospho-L-seryl/threonyl-[protein] (Widmann et al., 1999, pp. 1–2; Orand, 2023, pp. 33–38).</w:t>
      </w:r>
    </w:p>
    <w:bookmarkEnd w:id="10"/>
    <w:bookmarkStart w:id="11" w:name="cofactor-requirements"/>
    <w:p>
      <w:pPr>
        <w:pStyle w:val="Heading2"/>
      </w:pPr>
      <w:r>
        <w:t xml:space="preserve">Cofactor Requirements</w:t>
      </w:r>
    </w:p>
    <w:p>
      <w:pPr>
        <w:pStyle w:val="FirstParagraph"/>
      </w:pPr>
      <w:r>
        <w:t xml:space="preserve">Requires Mg²⁺ for ATP coordination and efficient phosphate transfer (Theodosiou &amp; Ashworth, 2002, pp. 1–2).</w:t>
      </w:r>
    </w:p>
    <w:bookmarkEnd w:id="11"/>
    <w:bookmarkStart w:id="12" w:name="substrate-specificity"/>
    <w:p>
      <w:pPr>
        <w:pStyle w:val="Heading2"/>
      </w:pPr>
      <w:r>
        <w:t xml:space="preserve">Substrate Specificity</w:t>
      </w:r>
    </w:p>
    <w:p>
      <w:pPr>
        <w:pStyle w:val="FirstParagraph"/>
      </w:pPr>
      <w:r>
        <w:t xml:space="preserve">MAPK14 preferentially phosphorylates Ser/Thr residues followed by Pro (S/T-P motif). Docking interactions refine recognition, allowing phosphorylation of an estimated 200–300 substrates that include transcription factors ATF1/2, MEF2, Elk-1 and TP53, and protein kinases MK2, MK3, MNK1 and MNK2 (Cargnello &amp; Roux, 2011, pp. 4–5; Martín-Blanco, 2000, pp. 2–3; Orand, 2023, pp. 38–41).</w:t>
      </w:r>
    </w:p>
    <w:bookmarkEnd w:id="12"/>
    <w:bookmarkStart w:id="13" w:name="structure"/>
    <w:p>
      <w:pPr>
        <w:pStyle w:val="Heading2"/>
      </w:pPr>
      <w:r>
        <w:t xml:space="preserve">Structure</w:t>
      </w:r>
    </w:p>
    <w:p>
      <w:pPr>
        <w:pStyle w:val="FirstParagraph"/>
      </w:pPr>
      <w:r>
        <w:t xml:space="preserve">The kinase adopts the canonical bilobed CMGC fold: a β-stranded N-lobe and an α-helical C-lobe with a central ATP-binding cleft. The activation loop contains the conserved T 183-G-Y 185 motif that undergoes dual phosphorylation by MKK3/6, triggering conformational changes required for activity. Structural studies reveal a hydrophobic spine, key C-helix residues for catalysis and subtle docking-site differences that distinguish p38 α from its paralogues (Cargnello &amp; Roux, 2011, pp. 4–5; Orand, 2023, pp. 41–45).</w:t>
      </w:r>
    </w:p>
    <w:bookmarkEnd w:id="13"/>
    <w:bookmarkStart w:id="14" w:name="regulation"/>
    <w:p>
      <w:pPr>
        <w:pStyle w:val="Heading2"/>
      </w:pPr>
      <w:r>
        <w:t xml:space="preserve">Regulation</w:t>
      </w:r>
    </w:p>
    <w:p>
      <w:pPr>
        <w:pStyle w:val="FirstParagraph"/>
      </w:pPr>
      <w:r>
        <w:t xml:space="preserve">• Activation: dual phosphorylation of Thr183 and Tyr185 by upstream MKK3 and MKK6 in response to UV, oxidative stress and inflammatory cytokines (Cargnello &amp; Roux, 2011, pp. 4–5; Martín-Blanco, 2000, pp. 1–2).</w:t>
      </w:r>
      <w:r>
        <w:br/>
      </w:r>
      <w:r>
        <w:t xml:space="preserve">• Subcellular distribution: activated MAPK14 translocates between cytoplasm and nucleus to access distinct substrates (Cargnello &amp; Roux, 2011, pp. 23–24; Roux &amp; Blenis, 2004, pp. 17–18).</w:t>
      </w:r>
      <w:r>
        <w:br/>
      </w:r>
      <w:r>
        <w:t xml:space="preserve">• Negative regulation: MAP kinase phosphatases dephosphorylate the activation loop; casein kinase II and other protein interactions modulate autophosphorylation and activity (Theodosiou &amp; Ashworth, 2002, pp. 1–2; Roux &amp; Blenis, 2004, pp. 17–18).</w:t>
      </w:r>
    </w:p>
    <w:bookmarkEnd w:id="14"/>
    <w:bookmarkStart w:id="15" w:name="function"/>
    <w:p>
      <w:pPr>
        <w:pStyle w:val="Heading2"/>
      </w:pPr>
      <w:r>
        <w:t xml:space="preserve">Function</w:t>
      </w:r>
    </w:p>
    <w:p>
      <w:pPr>
        <w:pStyle w:val="FirstParagraph"/>
      </w:pPr>
      <w:r>
        <w:t xml:space="preserve">MAPK14 is a central mediator of cellular responses to pro-inflammatory cytokines and environmental stress. By phosphorylating nuclear transcription factors (ATF1/2, MEF2, Elk-1, TP53) it drives immediate-early gene expression and chromatin remodelling (Cargnello &amp; Roux, 2011, pp. 19–20; Orand, 2023, pp. 25–29). Cytoplasmic targets include MK2/3 and MNK1/2 as well as proteins involved in protein degradation (e.g., SIAH2) and receptor endocytosis/shedding (e.g., ADAM17), thereby influencing inflammation, cell-cycle progression and receptor signalling (Cargnello &amp; Roux, 2011, pp. 23–25; Widmann et al., 1999, pp. 22–24).</w:t>
      </w:r>
    </w:p>
    <w:bookmarkEnd w:id="15"/>
    <w:bookmarkStart w:id="16" w:name="inhibitors"/>
    <w:p>
      <w:pPr>
        <w:pStyle w:val="Heading2"/>
      </w:pPr>
      <w:r>
        <w:t xml:space="preserve">Inhibitors</w:t>
      </w:r>
    </w:p>
    <w:p>
      <w:pPr>
        <w:pStyle w:val="FirstParagraph"/>
      </w:pPr>
      <w:r>
        <w:t xml:space="preserve">Competitive ATP-site inhibitors SB203580 and SB202190 are widely used experimental tools to block MAPK14 activity (Martín-Blanco, 2000, pp. 1–2; New et al., 1998, pp. 1–3).</w:t>
      </w:r>
    </w:p>
    <w:bookmarkEnd w:id="16"/>
    <w:bookmarkStart w:id="17" w:name="other-comments"/>
    <w:p>
      <w:pPr>
        <w:pStyle w:val="Heading2"/>
      </w:pPr>
      <w:r>
        <w:t xml:space="preserve">Other Comments</w:t>
      </w:r>
    </w:p>
    <w:p>
      <w:pPr>
        <w:pStyle w:val="FirstParagraph"/>
      </w:pPr>
      <w:r>
        <w:t xml:space="preserve">Aberrant MAPK14 signalling is linked to inflammatory diseases, cancers and developmental disorders, making the kinase an attractive target for anti-inflammatory and anti-cancer drug development (Widmann et al., 1999, pp. 24–25; Roux &amp; Blenis, 2004, pp. 16–17; Cargnello &amp; Roux, 2011, pp. 24–25).</w:t>
      </w:r>
    </w:p>
    <w:bookmarkEnd w:id="17"/>
    <w:bookmarkStart w:id="18" w:name="references"/>
    <w:p>
      <w:pPr>
        <w:pStyle w:val="Heading2"/>
      </w:pPr>
      <w:r>
        <w:t xml:space="preserve">References</w:t>
      </w:r>
    </w:p>
    <w:p>
      <w:pPr>
        <w:pStyle w:val="FirstParagraph"/>
      </w:pPr>
      <w:r>
        <w:t xml:space="preserve">Cargnello, M., &amp; Roux, P. P. (2011). Activation and function of the MAPKs and their substrates, the MAPK-activated protein kinases. Microbiology and Molecular Biology Reviews, 75, 50–83. https://doi.org/10.1128/mmbr.00031-10</w:t>
      </w:r>
    </w:p>
    <w:p>
      <w:pPr>
        <w:pStyle w:val="BodyText"/>
      </w:pPr>
      <w:r>
        <w:t xml:space="preserve">Kültz, D. (1998). Phylogenetic and functional classification of mitogen- and stress-activated protein kinases. Journal of Molecular Evolution, 46, 571–588. https://doi.org/10.1007/PL00006338</w:t>
      </w:r>
    </w:p>
    <w:p>
      <w:pPr>
        <w:pStyle w:val="BodyText"/>
      </w:pPr>
      <w:r>
        <w:t xml:space="preserve">Martín-Blanco, E. (2000). p38 MAPK signalling cascades: ancient roles and new functions. BioEssays, 22, 637–645. https://doi.org/10.1002/1521-1878(200007)22:7&lt;637::AID-BIES6&gt;3.0.CO;2-E</w:t>
      </w:r>
    </w:p>
    <w:p>
      <w:pPr>
        <w:pStyle w:val="BodyText"/>
      </w:pPr>
      <w:r>
        <w:t xml:space="preserve">New, L., Jiang, Y., Zhao, M.-Z., Liu, K. Z., Zhu, W., Flood, L. J., … Han, J. (1998). PRAK, a novel protein kinase regulated by the p38 MAP kinase. The EMBO Journal, 17, 3372–3384. https://doi.org/10.1093/emboj/17.12.3372</w:t>
      </w:r>
    </w:p>
    <w:p>
      <w:pPr>
        <w:pStyle w:val="BodyText"/>
      </w:pPr>
      <w:r>
        <w:t xml:space="preserve">Orand, T. (2023). Revealing the mechanism of action of intrinsically disordered proteins in MAPK cell signalling. [Journal unknown], pp. 25–45.</w:t>
      </w:r>
    </w:p>
    <w:p>
      <w:pPr>
        <w:pStyle w:val="BodyText"/>
      </w:pPr>
      <w:r>
        <w:t xml:space="preserve">Roux, P. P., &amp; Blenis, J. (2004). ERK and p38 MAPK-activated protein kinases: a family of protein kinases with diverse biological functions. Microbiology and Molecular Biology Reviews, 68, 320–344. https://doi.org/10.1128/mmbr.68.2.320-344.2004</w:t>
      </w:r>
    </w:p>
    <w:p>
      <w:pPr>
        <w:pStyle w:val="BodyText"/>
      </w:pPr>
      <w:r>
        <w:t xml:space="preserve">Theodosiou, A., &amp; Ashworth, A. (2002). MAP kinase phosphatases. Genome Biology, 3, reviews3009.1–3009.10. https://doi.org/10.1186/gb-2002-3-7-reviews3009</w:t>
      </w:r>
    </w:p>
    <w:p>
      <w:pPr>
        <w:pStyle w:val="BodyText"/>
      </w:pPr>
      <w:r>
        <w:t xml:space="preserve">Widmann, C., Gibson, S., Jarpe, M. B., &amp; Johnson, G. L. (1999). Mitogen-activated protein kinase: conservation of a three-kinase module from yeast to human. Physiological Reviews, 79, 143–180. https://doi.org/10.1152/physrev.1999.79.1.143</w:t>
      </w:r>
    </w:p>
    <w:bookmarkEnd w:id="1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2025-06-24T20:50:53Z</dcterms:created>
  <dcterms:modified xsi:type="dcterms:W3CDTF">2025-06-24T20:50:53Z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