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BLK is a subfamily-B member of the Src family of non-receptor tyrosine kinases. Orthologues are conserved throughout vertebrates and expression is essentially restricted to B lymphocytes. Phylogenetic analyses place BLK closest to the B-cell Src kinases Lyn and Fyn (Korade-Mirnics &amp; Corey, 2000; Barreiro,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[protein]-tyrosine → ADP + [protein]-phosphotyrosine + H⁺ (Bolen &amp; Brugge, 1997; Corey &amp; Anderson, 1999).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Mg²⁺ ions (Ingley, 2008; Bolen &amp; Brugge, 1997).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BLK phosphorylates immunoreceptor activation motif (ITAM) substrates, notably CD79A (Y188, Y199) and CD79B (Y196, Y207), as well as Fcγ-receptor subunits FCGR2A, FCGR2B and FCGR2C. It also promotes Bruton’s tyrosine kinase (BTK) auto-phosphorylation. Substrates share acidic ITAM environments typical of Src-family targets (Barreiro, 2017; Bolen &amp; Brugge, 1997; Corey &amp; Anderson, 1999).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BLK exhibits the canonical Src-family layout:</w:t>
      </w:r>
      <w:r>
        <w:br/>
      </w:r>
      <w:r>
        <w:t xml:space="preserve">• N-terminal SH4 domain, myristoylated/palmitoylated for membrane anchoring.</w:t>
      </w:r>
      <w:r>
        <w:br/>
      </w:r>
      <w:r>
        <w:t xml:space="preserve">• Unique region conferring isoform-specific regulation.</w:t>
      </w:r>
      <w:r>
        <w:br/>
      </w:r>
      <w:r>
        <w:t xml:space="preserve">• SH3 domain; an Ala71Thr variant heightens ubiquitination without altering localisation.</w:t>
      </w:r>
      <w:r>
        <w:br/>
      </w:r>
      <w:r>
        <w:t xml:space="preserve">• SH2 domain adjoining the catalytic (protein kinase) domain.</w:t>
      </w:r>
      <w:r>
        <w:br/>
      </w:r>
      <w:r>
        <w:t xml:space="preserve">• Short C-terminal tail containing an inhibitory tyrosine phosphorylated by Csk.</w:t>
      </w:r>
      <w:r>
        <w:br/>
      </w:r>
      <w:r>
        <w:t xml:space="preserve">(Korade-Mirnics &amp; Corey, 2000; Barreiro, 2017; Bolen &amp; Brugge, 1997; Superti-Furga &amp; Courtneidge, 1995).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controlled by (i) phosphorylation of the activation loop (activating) and of the C-terminal tyrosine by Csk (inhibitory) and (ii) ubiquitin-mediated turnover, which is enhanced by the Ala71Thr SH3-domain variant via E6AP-dependent polyubiquitination (Barreiro, 2017; Bolen &amp; Brugge, 1997; Korade-Mirnics &amp; Corey, 2000; Mahajan et al., 1995).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B lymphocytes, BLK initiates B-cell-receptor and pre-BCR signalling by phosphorylating CD79A/B, thereby triggering NF-κB activation and supporting the pro-B → pre-B transition (Barreiro, 2017). It facilitates BTK activation and interacts with the adaptor BANK1 (Barreiro, 2017). Additional reported roles include regulation of pancreatic β-cell transcription factors PDX1 and NKX6-1 (PubMed:19667185) and phosphorylation-dependent cytosolic retention of CGAS (PubMed:30356214).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Broad-spectrum Src-family inhibitors—dasatinib, ponatinib and saracatinib—bind the ATP pocket or allosteric sites and inhibit BLK (Sumera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Genome-wide association studies link reduced BLK expression to systemic lupus erythematosus and rheumatoid arthritis; BLK’s B-cell-restricted expression also suggests relevance to B-cell malignancies, although Src-family redundancy can compensate in knockout models (Barreiro, 2017; Bolen &amp; Brugge, 1997; Korade-Mirnics &amp; Corey, 2000).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Barreiro, A. D. (2017).</w:t>
      </w:r>
      <w:r>
        <w:t xml:space="preserve"> </w:t>
      </w:r>
      <w:r>
        <w:rPr>
          <w:i/>
          <w:iCs/>
        </w:rPr>
        <w:t xml:space="preserve">Functional studies of the SLE-risk genes BANK1 and BLK in B-cell pathways</w:t>
      </w:r>
      <w:r>
        <w:t xml:space="preserve"> </w:t>
      </w:r>
      <w:r>
        <w:t xml:space="preserve">[Doctoral dissertation].</w:t>
      </w:r>
    </w:p>
    <w:p>
      <w:pPr>
        <w:pStyle w:val="BodyText"/>
      </w:pPr>
      <w:r>
        <w:t xml:space="preserve">Bolen, J. B., &amp; Brugge, J. S. (1997). Leukocyte protein tyrosine kinases: Potential targets for drug discovery.</w:t>
      </w:r>
      <w:r>
        <w:t xml:space="preserve"> </w:t>
      </w:r>
      <w:r>
        <w:rPr>
          <w:i/>
          <w:iCs/>
        </w:rPr>
        <w:t xml:space="preserve">Annual Review of Immunology, 15</w:t>
      </w:r>
      <w:r>
        <w:t xml:space="preserve">, 371–404. https://doi.org/10.1146/annurev.immunol.15.1.371</w:t>
      </w:r>
    </w:p>
    <w:p>
      <w:pPr>
        <w:pStyle w:val="BodyText"/>
      </w:pPr>
      <w:r>
        <w:t xml:space="preserve">Corey, S. J., &amp; Anderson, S. M. (1999). Src-related protein tyrosine kinases in hematopoiesis.</w:t>
      </w:r>
      <w:r>
        <w:t xml:space="preserve"> </w:t>
      </w:r>
      <w:r>
        <w:rPr>
          <w:i/>
          <w:iCs/>
        </w:rPr>
        <w:t xml:space="preserve">Blood, 93</w:t>
      </w:r>
      <w:r>
        <w:t xml:space="preserve">, 1–14. https://doi.org/10.1182/blood.v93.1.1.401a45_1_14</w:t>
      </w:r>
    </w:p>
    <w:p>
      <w:pPr>
        <w:pStyle w:val="BodyText"/>
      </w:pPr>
      <w:r>
        <w:t xml:space="preserve">Ingley, E. (2008). Src family kinases: Regulation of their activities, levels and identification of new pathways.</w:t>
      </w:r>
      <w:r>
        <w:t xml:space="preserve"> </w:t>
      </w:r>
      <w:r>
        <w:rPr>
          <w:i/>
          <w:iCs/>
        </w:rPr>
        <w:t xml:space="preserve">Biochimica et Biophysica Acta – Proteins and Proteomics, 1784</w:t>
      </w:r>
      <w:r>
        <w:t xml:space="preserve">, 56–65. https://doi.org/10.1016/j.bbapap.2007.08.012</w:t>
      </w:r>
    </w:p>
    <w:p>
      <w:pPr>
        <w:pStyle w:val="BodyText"/>
      </w:pPr>
      <w:r>
        <w:t xml:space="preserve">Korade-Mirnics, Ž., &amp; Corey, S. J. (2000). Src kinase-mediated signaling in leukocytes.</w:t>
      </w:r>
      <w:r>
        <w:t xml:space="preserve"> </w:t>
      </w:r>
      <w:r>
        <w:rPr>
          <w:i/>
          <w:iCs/>
        </w:rPr>
        <w:t xml:space="preserve">Journal of Leukocyte Biology, 68</w:t>
      </w:r>
      <w:r>
        <w:t xml:space="preserve">, 603–613. https://doi.org/10.1189/jlb.68.5.603</w:t>
      </w:r>
    </w:p>
    <w:p>
      <w:pPr>
        <w:pStyle w:val="BodyText"/>
      </w:pPr>
      <w:r>
        <w:t xml:space="preserve">Mahajan, S., Fargnoli, J., Burkhardt, A. L., Kut, S. A., Saouaf, S. J., &amp; Bolen, J. B. (1995). Src family protein tyrosine kinases induce autoactivation of Bruton’s tyrosine kinase.</w:t>
      </w:r>
      <w:r>
        <w:t xml:space="preserve"> </w:t>
      </w:r>
      <w:r>
        <w:rPr>
          <w:i/>
          <w:iCs/>
        </w:rPr>
        <w:t xml:space="preserve">Molecular and Cellular Biology, 15</w:t>
      </w:r>
      <w:r>
        <w:t xml:space="preserve">, 5304–5311. https://doi.org/10.1128/mcb.15.10.5304</w:t>
      </w:r>
    </w:p>
    <w:p>
      <w:pPr>
        <w:pStyle w:val="BodyText"/>
      </w:pPr>
      <w:r>
        <w:t xml:space="preserve">Superti-Furga, G., &amp; Courtneidge, S. A. (1995). Structure–function relationships in Src family and related protein tyrosine kinases.</w:t>
      </w:r>
      <w:r>
        <w:t xml:space="preserve"> </w:t>
      </w:r>
      <w:r>
        <w:rPr>
          <w:i/>
          <w:iCs/>
        </w:rPr>
        <w:t xml:space="preserve">BioEssays, 17</w:t>
      </w:r>
      <w:r>
        <w:t xml:space="preserve">, 321–330. https://doi.org/10.1002/bies.950170408</w:t>
      </w:r>
    </w:p>
    <w:p>
      <w:pPr>
        <w:pStyle w:val="BodyText"/>
      </w:pPr>
      <w:r>
        <w:t xml:space="preserve">Sumera, S., Srinivasan, S., Harshitha, B. V., Biradar, S., &amp; Patil, S. (2023). Pharmacophore based high throughput virtual screening towards the discovery of novel BLK (B-lymphocyte kinase) tyrosine kinase inhibitors.</w:t>
      </w:r>
      <w:r>
        <w:t xml:space="preserve"> </w:t>
      </w:r>
      <w:r>
        <w:rPr>
          <w:i/>
          <w:iCs/>
        </w:rPr>
        <w:t xml:space="preserve">Indian Journal of Pharmaceutical Education and Research, 57</w:t>
      </w:r>
      <w:r>
        <w:t xml:space="preserve">, s174–s182. https://doi.org/10.5530/ijper.57.1s.21</w:t>
      </w:r>
    </w:p>
    <w:p>
      <w:pPr>
        <w:pStyle w:val="BodyText"/>
      </w:pPr>
      <w:r>
        <w:t xml:space="preserve">PubMed:19667185</w:t>
      </w:r>
    </w:p>
    <w:p>
      <w:pPr>
        <w:pStyle w:val="BodyText"/>
      </w:pPr>
      <w:r>
        <w:t xml:space="preserve">PubMed:30356214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2025-06-25T18:03:23Z</dcterms:created>
  <dcterms:modified xsi:type="dcterms:W3CDTF">2025-06-25T18:03:23Z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