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EC/sub-subclass:</w:t>
      </w:r>
    </w:p>
    <w:p>
      <w:pPr>
        <w:pStyle w:val="FirstParagraph"/>
      </w:pPr>
      <w:r>
        <w:t xml:space="preserve">Not provided in the source material.</w:t>
      </w:r>
    </w:p>
    <w:bookmarkEnd w:id="9"/>
    <w:bookmarkStart w:id="10" w:name="accepted-name"/>
    <w:p>
      <w:pPr>
        <w:pStyle w:val="Heading2"/>
      </w:pPr>
      <w:r>
        <w:t xml:space="preserve">Accepted name:</w:t>
      </w:r>
    </w:p>
    <w:p>
      <w:pPr>
        <w:pStyle w:val="FirstParagraph"/>
      </w:pPr>
      <w:r>
        <w:t xml:space="preserve">Bruton’s tyrosine kinase</w:t>
      </w:r>
    </w:p>
    <w:bookmarkEnd w:id="10"/>
    <w:bookmarkStart w:id="11" w:name="synonyms"/>
    <w:p>
      <w:pPr>
        <w:pStyle w:val="Heading2"/>
      </w:pPr>
      <w:r>
        <w:t xml:space="preserve">Synonyms:</w:t>
      </w:r>
    </w:p>
    <w:p>
      <w:pPr>
        <w:pStyle w:val="FirstParagraph"/>
      </w:pPr>
      <w:r>
        <w:t xml:space="preserve">BTK; Bruton tyrosine kinase (no additional synonyms were listed in the source material).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BTK belongs to the Tec family of non-receptor tyrosine kinases (with ITK, BMX, TEC and TXK) and is evolutionarily conserved across vertebrates (Singh et al., 2018; McDonald et al., 2021). Large-scale kinome analyses place BTK in a distinct branch from the Src, AGC and CMGC kinase families, and its multidomain organisation distinguishes it from receptor tyrosine kinases and other non-receptor classes (Hendriks et al., 2014).</w:t>
      </w:r>
    </w:p>
    <w:bookmarkEnd w:id="12"/>
    <w:bookmarkStart w:id="13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[protein]-tyrosine ⇌ ADP + H⁺ + [protein]-O-phosphotyrosine (Buggy &amp; Elias, 2012; Wen et al., 2021).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ATP coordination and phosphoryl transfer (Xing &amp; Huang, 2014).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BTK phosphorylates tyrosine residues in proteins engaged in B-cell receptor and Toll-like receptor signalling. Documented physiological substrates include PLCγ2, BLNK, TIRAP and NLRP3, indicating that recognition depends on both local sequence and protein-protein interaction determinants (Buggy &amp; Elias, 2012; Zain &amp; Vihinen, 2021; Singh et al., 2018).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BTK is modular: PH–TH (zinc-binding)–SH3–SH2–kinase domains (Lou et al., 2012; Xing &amp; Huang, 2014).</w:t>
      </w:r>
      <w:r>
        <w:br/>
      </w:r>
      <w:r>
        <w:t xml:space="preserve">• The PH domain binds PIP₃ to target BTK to the plasma membrane (Buggy &amp; Elias, 2012).</w:t>
      </w:r>
      <w:r>
        <w:br/>
      </w:r>
      <w:r>
        <w:t xml:space="preserve">• Activation loop Tyr551 and autophosphorylation site Tyr223 (in SH3) regulate activity (Xing &amp; Huang, 2014).</w:t>
      </w:r>
      <w:r>
        <w:br/>
      </w:r>
      <w:r>
        <w:t xml:space="preserve">• Cys481 in the catalytic cleft is the covalent binding site for several inhibitors (Xing &amp; Huang, 2014).</w:t>
      </w:r>
      <w:r>
        <w:br/>
      </w:r>
      <w:r>
        <w:t xml:space="preserve">• Crystal structures show active and “αC-helix-out” inactive conformations, highlighting flexibility of the αC-helix and DFG motif (Xing &amp; Huang, 2014).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Activation is initiated by phosphorylation of Tyr551 by upstream kinases such as SYK or LYN, followed by BTK autophosphorylation on Tyr223, which stabilises the active state (Buggy &amp; Elias, 2012; Singh et al., 2018). BTK also operates as a scaffold, inducing phosphorylation-dependent degradation of TIRAP to modulate TLR9 signalling and phosphorylating NLRP3 during inflammasome activation (Buggy &amp; Elias, 2012; McDonald et al., 2021). These mechanisms ensure stimulus-dependent and temporally restricted activity.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BTK is indispensable for adaptive and innate immune signalling.</w:t>
      </w:r>
      <w:r>
        <w:br/>
      </w:r>
      <w:r>
        <w:t xml:space="preserve">• B cells – transduces B-cell receptor signals that govern development, proliferation, survival and NF-κB activation via PLCγ2 and PKC-dependent pathways (Buggy &amp; Elias, 2012; Wen et al., 2021).</w:t>
      </w:r>
      <w:r>
        <w:br/>
      </w:r>
      <w:r>
        <w:t xml:space="preserve">• Innate immunity – modulates Toll-like receptor signalling and cytokine production (McDonald et al., 2021; Weber et al., 2017).</w:t>
      </w:r>
      <w:r>
        <w:br/>
      </w:r>
      <w:r>
        <w:t xml:space="preserve">• Inflammasome – phosphorylates and promotes activation of NLRP3 (Zain &amp; Vihinen, 2021; McDonald et al., 2021).</w:t>
      </w:r>
      <w:r>
        <w:br/>
      </w:r>
      <w:r>
        <w:t xml:space="preserve">Expression is high in B cells, mast cells, monocytes and macrophages, but minimal in T cells and plasma cells (Crofford et al., 2016; Hendriks et al., 2014).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Irreversible covalent inhibitors (e.g., ibrutinib) bind Cys481 and produce sustained BTK inhibition in B-cell malignancies. Second-generation inhibitors (acalabrutinib, zanubrutinib) improve selectivity while retaining efficacy (Xing &amp; Huang, 2014; Wen et al., 2021; Ringheim et al., 2021).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mutations cause X-linked agammaglobulinemia, whereas BTK overactivation contributes to B-cell cancers and autoimmune diseases. Its dual role in BCR and TLR pathways and in NLRP3 regulation makes BTK a broad therapeutic target, and ongoing work is refining substrate mapping and allosteric control (Buggy &amp; Elias, 2012; Singh et al., 2018; Rozkiewicz et al., 2023).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Buggy, J. J., &amp; Elias, L. (2012). Bruton tyrosine kinase (BTK) and its role in B-cell malignancy. International Reviews of Immunology, 31, 119-132. https://doi.org/10.3109/08830185.2012.664797</w:t>
      </w:r>
    </w:p>
    <w:p>
      <w:pPr>
        <w:pStyle w:val="BodyText"/>
      </w:pPr>
      <w:r>
        <w:t xml:space="preserve">Crofford, L. J., Nyhoff, L. E., Sheehan, J. H., &amp; Kendall, P. L. (2016). The role of Bruton’s tyrosine kinase in autoimmunity and implications for therapy. Expert Review of Clinical Immunology, 12, 763-773. https://doi.org/10.1586/1744666X.2016.1152888</w:t>
      </w:r>
    </w:p>
    <w:p>
      <w:pPr>
        <w:pStyle w:val="BodyText"/>
      </w:pPr>
      <w:r>
        <w:t xml:space="preserve">Hendriks, R., Yuvaraj, S., &amp; Kil, L. P. (2014). Targeting Bruton’s tyrosine kinase in B-cell malignancies. Nature Reviews Cancer, 14, 219-232. https://doi.org/10.1038/nrc3702</w:t>
      </w:r>
    </w:p>
    <w:p>
      <w:pPr>
        <w:pStyle w:val="BodyText"/>
      </w:pPr>
      <w:r>
        <w:t xml:space="preserve">Lou, Y., Owens, T. D., Kuglstatter, A., Kondru, R. K., &amp; Goldstein, D. M. (2012). Bruton’s tyrosine kinase inhibitors: approaches to potent and selective inhibition, preclinical and clinical evaluation for inflammatory diseases and B-cell malignancies. Journal of Medicinal Chemistry, 55, 4539-4550. https://doi.org/10.1021/jm300035p</w:t>
      </w:r>
    </w:p>
    <w:p>
      <w:pPr>
        <w:pStyle w:val="BodyText"/>
      </w:pPr>
      <w:r>
        <w:t xml:space="preserve">McDonald, C., Xanthopoulos, C., &amp; Kostareli, E. (2021). The role of Bruton’s tyrosine kinase in the immune system and disease. Immunology, 164, 722-736. https://doi.org/10.1111/imm.13416</w:t>
      </w:r>
    </w:p>
    <w:p>
      <w:pPr>
        <w:pStyle w:val="BodyText"/>
      </w:pPr>
      <w:r>
        <w:t xml:space="preserve">Ringheim, G. E., Wampole, M., &amp; Oberoi, K. (2021). Bruton’s tyrosine kinase inhibitors and autoimmune diseases: Making sense of BTK inhibitor specificity profiles and recent clinical trial successes and failures. Frontiers in Immunology. https://doi.org/10.3389/fimmu.2021.662223</w:t>
      </w:r>
    </w:p>
    <w:p>
      <w:pPr>
        <w:pStyle w:val="BodyText"/>
      </w:pPr>
      <w:r>
        <w:t xml:space="preserve">Rozkiewicz, D., Hermanowicz, J. M., Kwiatkowska, I., Krupa, A., &amp; Pawlak, D. (2023). Bruton’s tyrosine kinase inhibitors (BTKis): Review of preclinical studies and evaluation of clinical trials. Molecules, 28, 2400. https://doi.org/10.3390/molecules28052400</w:t>
      </w:r>
    </w:p>
    <w:p>
      <w:pPr>
        <w:pStyle w:val="BodyText"/>
      </w:pPr>
      <w:r>
        <w:t xml:space="preserve">Singh, S. P., Dammeijer, F., &amp; Hendriks, R. W. (2018). Role of Bruton’s tyrosine kinase in B cells and malignancies. Molecular Cancer, 17, 57. https://doi.org/10.1186/s12943-018-0779-z</w:t>
      </w:r>
    </w:p>
    <w:p>
      <w:pPr>
        <w:pStyle w:val="BodyText"/>
      </w:pPr>
      <w:r>
        <w:t xml:space="preserve">Weber, A. N. R., Bittner, Z., Liu, X., Dang, T.-M., Radsak, M. P., &amp; Brunner, C. (2017). Bruton’s tyrosine kinase: An emerging key player in innate immunity. Frontiers in Immunology. https://doi.org/10.3389/fimmu.2017.01454</w:t>
      </w:r>
    </w:p>
    <w:p>
      <w:pPr>
        <w:pStyle w:val="BodyText"/>
      </w:pPr>
      <w:r>
        <w:t xml:space="preserve">Wen, T., Wang, J., Shi, Y., Qian, H., &amp; Liu, P. (2021). Inhibitors targeting Bruton’s tyrosine kinase in cancers: Drug development advances. Leukemia, 35, 312-332. https://doi.org/10.1038/s41375-020-01072-6</w:t>
      </w:r>
    </w:p>
    <w:p>
      <w:pPr>
        <w:pStyle w:val="BodyText"/>
      </w:pPr>
      <w:r>
        <w:t xml:space="preserve">Xing, L., &amp; Huang, A. (2014). Bruton’s tyrosine kinase inhibitors: Structural insights and evolution of clinical candidates. Future Medicinal Chemistry, 6, 675-695. https://doi.org/10.4155/fmc.14.24</w:t>
      </w:r>
    </w:p>
    <w:p>
      <w:pPr>
        <w:pStyle w:val="BodyText"/>
      </w:pPr>
      <w:r>
        <w:t xml:space="preserve">Zain, R., &amp; Vihinen, M. (2021). Structure–function relationships of covalent and non-covalent BTK inhibitors. Frontiers in Immunology. https://doi.org/10.3389/fimmu.2021.694853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2025-06-25T18:52:25Z</dcterms:created>
  <dcterms:modified xsi:type="dcterms:W3CDTF">2025-06-25T18:52:25Z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