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Fgr belongs to the Src family of non-receptor tyrosine kinases, a well-conserved group that emerged early in eukaryotic evolution and is present across all metazoans. Within this family, Fgr clusters with the myeloid-enriched members Hck and Lyn and is predominantly expressed in hematopoietic cells such as neutrophils, monocytes, macrophages and mast cells (Hatakeyama et al., 1994; Sen &amp; Johnson, 2011; Fumagalli et al., 2007).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[protein]-L-tyrosine-phosphate + H⁺ (Kemble, 2009).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(Kemble,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Fgr preferentially phosphorylates tyrosine residues located within phosphotyrosine-containing motifs that are recognized through its SH2 domain. Sequential phosphorylation of HS1 (Tyr-222) exemplifies this mechanism, where prior Syk-mediated priming enables efficient Fgr phosphorylation. Although Fgr targets sequences similar to those recognized by other Src kinases, a unique universal consensus motif has not been defined (Brunati et al., 1999).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Fgr exhibits the canonical Src-family architecture: an N-terminal myristoylated unique region (membrane targeting), followed by SH3 and SH2 domains, a conserved catalytic (kinase) domain and a short C-terminal regulatory tail. The distinct N-terminal segment and the C-terminal tyrosine involved in negative regulation (via intramolecular SH2 binding) are key features that modulate localization and activity (Hatakeyama et al., 1994; Kemble, 2009).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governed by multiple phosphorylation events and protein–protein interactions.</w:t>
      </w:r>
      <w:r>
        <w:br/>
      </w:r>
      <w:r>
        <w:t xml:space="preserve">• Activation: autophosphorylation within the kinase domain (Kemble, 2009).</w:t>
      </w:r>
      <w:r>
        <w:br/>
      </w:r>
      <w:r>
        <w:t xml:space="preserve">• Inhibition: phosphorylation of the conserved C-terminal tyrosine by C-terminal Src kinase (Csk) stabilizes an inactive conformation (Ruzzene et al., 1994).</w:t>
      </w:r>
      <w:r>
        <w:br/>
      </w:r>
      <w:r>
        <w:t xml:space="preserve">• Receptor/adapter control: Fc-receptor cross-linking, integrin engagement, and association with adaptor proteins enhance or modulate activity (Hamada et al., 1993; Vines et al., 2001).</w:t>
      </w:r>
      <w:r>
        <w:br/>
      </w:r>
      <w:r>
        <w:t xml:space="preserve">• Pathogenic mutation: the gain-of-function p.Asp502Gly substitution perturbs normal regulatory phosphorylation and promotes autoinflammatory bone disease (Abe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Fgr transduces signals from surface receptors that lack intrinsic kinase activity, regulating adhesion, migration, phagocytosis and cytoskeletal remodeling in myeloid cells.</w:t>
      </w:r>
      <w:r>
        <w:br/>
      </w:r>
      <w:r>
        <w:t xml:space="preserve">• Neutrophils: required for fMLP-induced actin reorganization, Rac activation and the respiratory burst (Fumagalli et al., 2007).</w:t>
      </w:r>
      <w:r>
        <w:br/>
      </w:r>
      <w:r>
        <w:t xml:space="preserve">• Monocytes/macrophages: supports ITGB1/ITGB2 signaling for spreading and adhesion but can also attenuate β2-integrin/Syk pathways (Vines et al., 2001).</w:t>
      </w:r>
      <w:r>
        <w:br/>
      </w:r>
      <w:r>
        <w:t xml:space="preserve">• Mast cells: contributes to degranulation and cytokine release through PLD2 phosphorylation (Jing et al., 2021).</w:t>
      </w:r>
      <w:r>
        <w:br/>
      </w:r>
      <w:r>
        <w:t xml:space="preserve">• Additional substrates include CBL, VAV2, PTK2/FAK1 and HCLS1, linking Fgr to survival, proliferation and migration pathways (Fumagalli et al., 2007; Weir et al., 2018).</w:t>
      </w:r>
      <w:r>
        <w:br/>
      </w:r>
      <w:r>
        <w:t xml:space="preserve">Pathological roles include over-expression in subsets of acute myeloid leukemia and involvement in autoinflammatory bone disease (Abe et al., 2019; Weir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N-phenylbenzamide compound TL02-59 is a picomolar-potent, selective ATP-competitive inhibitor of Fgr that suppresses acute myeloid leukemia cell growth in vitro and in vivo (Weir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Selective Fgr inhibition underscores its therapeutic potential in cancer and inflammatory disorders. Integrin and Fc-receptor signaling contexts highlight its central role in immune cell activation and migration (Hamada et al., 1993; Fumagalli et al., 2007).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Abe, K., Cox, A., Takamatsu, N., Velez, G., Laxer, R. M., Tse, S. M. L., … Hrabe de Angelis, M. (2019). Gain-of-function mutations in a member of the Src family kinases cause autoinflammatory bone disease in mice and humans. Proceedings of the National Academy of Sciences, 116, 11872–11877. https://doi.org/10.1073/pnas.1819825116</w:t>
      </w:r>
    </w:p>
    <w:p>
      <w:pPr>
        <w:pStyle w:val="BodyText"/>
      </w:pPr>
      <w:r>
        <w:t xml:space="preserve">Brunati, A. M., Donella-Deana, A., James, P., Quadroni, M., Contri, A., Marin, O., &amp; Pinna, L. A. (1999). Molecular features underlying the sequential phosphorylation of HS1 protein and its association with c-Fgr protein-tyrosine kinase. The Journal of Biological Chemistry, 274, 7557–7564. https://doi.org/10.1074/jbc.274.11.7557</w:t>
      </w:r>
    </w:p>
    <w:p>
      <w:pPr>
        <w:pStyle w:val="BodyText"/>
      </w:pPr>
      <w:r>
        <w:t xml:space="preserve">Fumagalli, L., Zhang, H., Baruzzi, A., Lowell, C. A., &amp; Berton, G. (2007). The Src family kinases Hck and Fgr regulate neutrophil responses to N-formyl-methionyl-leucyl-phenylalanine. The Journal of Immunology, 178, 3874–3885. https://doi.org/10.4049/jimmunol.178.6.3874</w:t>
      </w:r>
    </w:p>
    <w:p>
      <w:pPr>
        <w:pStyle w:val="BodyText"/>
      </w:pPr>
      <w:r>
        <w:t xml:space="preserve">Hamada, F., Aoki, M., Akiyama, T., &amp; Toyoshima, K. (1993). Association of immunoglobulin G Fc receptor II with Src-like protein-tyrosine kinase Fgr in neutrophils. Proceedings of the National Academy of Sciences, 90, 6305–6309. https://doi.org/10.1073/pnas.90.13.6305</w:t>
      </w:r>
    </w:p>
    <w:p>
      <w:pPr>
        <w:pStyle w:val="BodyText"/>
      </w:pPr>
      <w:r>
        <w:t xml:space="preserve">Hatakeyama, S., Iwabuchi, K., Ogasawara, K., Good, R., &amp; Onoe, K. (1994). The murine c-fgr gene product associated with Ly6C and p70 integral membrane protein is expressed in cells of a monocyte/macrophage lineage. Proceedings of the National Academy of Sciences, 91, 3458–3462. https://doi.org/10.1073/pnas.91.8.3458</w:t>
      </w:r>
    </w:p>
    <w:p>
      <w:pPr>
        <w:pStyle w:val="BodyText"/>
      </w:pPr>
      <w:r>
        <w:t xml:space="preserve">Jing, X., Ren, D., Gao, F., Chen, Y., Wu, X., Han, Y., … Zhang, Y. (2021). Gene deficiency or pharmacological inhibition of PDCD4-mediated Fgr signaling protects against acute kidney injury. Acta Pharmaceutica Sinica B, 11, 394–405. https://doi.org/10.1016/j.apsb.2020.10.024</w:t>
      </w:r>
    </w:p>
    <w:p>
      <w:pPr>
        <w:pStyle w:val="BodyText"/>
      </w:pPr>
      <w:r>
        <w:t xml:space="preserve">Kemble, D. J. (2009). A biochemical study on the regulation of the Src and FGFR family of protein tyrosine kinases (Doctoral dissertation). University of Rhode Island. https://doi.org/10.23860/diss-2288</w:t>
      </w:r>
    </w:p>
    <w:p>
      <w:pPr>
        <w:pStyle w:val="BodyText"/>
      </w:pPr>
      <w:r>
        <w:t xml:space="preserve">Ruzzene, M., James, P., Brunati, A. M., Donella-Deana, A., &amp; Pinna, L. A. (1994). Regulation of c-Fgr protein kinase by c-Src kinase (Csk) and by polycationic effectors. The Journal of Biological Chemistry, 269, 15885–15891. https://doi.org/10.1016/S0021-9258(17)40763-0</w:t>
      </w:r>
    </w:p>
    <w:p>
      <w:pPr>
        <w:pStyle w:val="BodyText"/>
      </w:pPr>
      <w:r>
        <w:t xml:space="preserve">Sen, B., &amp; Johnson, F. M. (2011). Regulation of Src family kinases in human cancers. Journal of Signal Transduction, 2011, 865819. https://doi.org/10.1155/2011/865819</w:t>
      </w:r>
    </w:p>
    <w:p>
      <w:pPr>
        <w:pStyle w:val="BodyText"/>
      </w:pPr>
      <w:r>
        <w:t xml:space="preserve">Vines, C. M., Potter, J. W., Xu, Y., Geahlen, R. L., Costello, P. S., Tybulewicz, V. L., … Willman, C. L. (2001). Inhibition of β2 integrin receptor and Syk kinase signaling in monocytes by the Src family kinase Fgr. Immunity, 15, 507–519. https://doi.org/10.1016/S1074-7613(01)00221-7</w:t>
      </w:r>
    </w:p>
    <w:p>
      <w:pPr>
        <w:pStyle w:val="BodyText"/>
      </w:pPr>
      <w:r>
        <w:t xml:space="preserve">Weir, M. C., Shu, S. T., Patel, R. K., Hellwig, S., Chen, L., Tan, L., … Smithgall, T. E. (2018). Selective inhibition of the myeloid Src-family kinase Fgr potently suppresses AML cell growth in vitro and in vivo. ACS Chemical Biology, 13, 1551–1559. https://doi.org/10.1021/acschembio.8b00154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2025-06-25T18:54:38Z</dcterms:created>
  <dcterms:modified xsi:type="dcterms:W3CDTF">2025-06-25T18:54:38Z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