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Tyrosine-protein kinase Fyn belongs to the Src family kinases (SFKs), a metazoan-conserved group of non-receptor tyrosine kinases present in all examined mammals (Huculeci et al., 2016). Sequence/structural comparison places Fyn with the Src/Yes/Fgr branch and apart from the Lyn/Hck/Lck subgroup (Register et al., 2014). Two splice variants, Fyn1 and Fyn2, differ in the SH2–catalytic domain linker and provide additional intra-family diversity (Brignatz et al., 2009; Register et al., 2014).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L-tyrosyl-[protein] ⇌ ADP + H⁺ + O-phospho-L-tyrosyl-[protein] (Sakkiah et al., 2017).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divalent cations; Mg²⁺ is essential for ATP binding and phosphate transfer (Sakkiah et al., 2017).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Fyn phosphorylates tyrosine residues within specific sequence contexts. Documented substrates include tau (Tyr18), β-catenin, δ-catenin and PIKE-A, implicating motifs that favour SH2-mediated engagement (Bhaskar et al., 2005; Tang et al., 2007; Demuro et al., 2022). A strict consensus motif has not been defined, but local amino-acid composition around the target tyrosine governs recognition (Brignatz et al., 2009).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Fyn comprises an N-terminal SH4 domain (myristoylation/palmitoylation; membrane targeting), followed by SH3, SH2, a kinase (SH1) domain and a C-terminal regulatory tail (Ouyang et al., 2018; Jelić et al., 2007).</w:t>
      </w:r>
      <w:r>
        <w:br/>
      </w:r>
      <w:r>
        <w:t xml:space="preserve">• SH3 binds proline-rich motifs; SH2 recognises phosphotyrosine sequences and both participate in autoinhibition (Register et al., 2014; Huculeci et al., 2016).</w:t>
      </w:r>
      <w:r>
        <w:br/>
      </w:r>
      <w:r>
        <w:t xml:space="preserve">• The catalytic domain contains the ATP-binding pocket, αC helix and activation loop (Demuro et al., 2022; Jelić et al., 2007).</w:t>
      </w:r>
      <w:r>
        <w:br/>
      </w:r>
      <w:r>
        <w:t xml:space="preserve">• Phosphorylation of the C-terminal tyrosine by Csk stabilises an autoinhibited conformation, while membrane localisation concentrates the kinase in lipid rafts (Andoniou et al., 2000; Ouyang et al., 2018).</w:t>
      </w:r>
      <w:r>
        <w:br/>
      </w:r>
      <w:r>
        <w:t xml:space="preserve">Homology models and X-ray structures reveal dynamic coupling among SH2, SH3 and SH1 domains (Jelić et al., 2007; Register et al., 2014).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Autoinhibition is mediated by intramolecular SH2 binding to the phosphorylated C-terminal tail and SH3 engagement of the linker, restraining catalytic activity (Register et al., 2014; Brignatz et al., 2009). Activation involves:</w:t>
      </w:r>
      <w:r>
        <w:br/>
      </w:r>
      <w:r>
        <w:t xml:space="preserve">1. Dephosphorylation of the inhibitory tail tyrosine.</w:t>
      </w:r>
      <w:r>
        <w:br/>
      </w:r>
      <w:r>
        <w:t xml:space="preserve">2. Autophosphorylation of the activation-loop tyrosine (Demuro et al., 2022).</w:t>
      </w:r>
      <w:r>
        <w:br/>
      </w:r>
      <w:r>
        <w:t xml:space="preserve">Alternative splicing (Fyn1 vs Fyn2) alters SH2–kinase coupling and regulatory flexibility (Brignatz et al., 2009; Register et al., 2014).</w:t>
      </w:r>
      <w:r>
        <w:br/>
      </w:r>
      <w:r>
        <w:t xml:space="preserve">Additional controls include:</w:t>
      </w:r>
      <w:r>
        <w:br/>
      </w:r>
      <w:r>
        <w:t xml:space="preserve">• Novel autophosphorylation sites in the SH2 domain (Tyr185, Tyr213, Tyr214) modulating kinase activity and phosphotyrosine binding (Weir et al., 2016).</w:t>
      </w:r>
      <w:r>
        <w:br/>
      </w:r>
      <w:r>
        <w:t xml:space="preserve">• Negative regulation by c-Cbl-mediated ubiquitination and degradation (Andoniou et al., 2000).</w:t>
      </w:r>
      <w:r>
        <w:br/>
      </w:r>
      <w:r>
        <w:t xml:space="preserve">• Upstream kinases/phosphatases: Csk phosphorylates the inhibitory tail; PKA can enhance activity indirectly via focal adhesion kinase association (Demuro et al., 2022).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Widely expressed, with high levels in neural and immune tissues.</w:t>
      </w:r>
      <w:r>
        <w:br/>
      </w:r>
      <w:r>
        <w:t xml:space="preserve">Neuronal roles: phosphorylation of MAPT, MAP2 and DAB1 drives cytoskeletal rearrangement, axon guidance and synaptic plasticity (Demuro et al., 2022; Brignatz et al., 2009).</w:t>
      </w:r>
      <w:r>
        <w:br/>
      </w:r>
      <w:r>
        <w:t xml:space="preserve">Immune roles: critical in T-cell receptor, mast cell and NK cell signalling through substrates such as VAV1 and CD28 pathway components (Marotta et al., 2022; Mkaddem et al., 2017).</w:t>
      </w:r>
      <w:r>
        <w:br/>
      </w:r>
      <w:r>
        <w:t xml:space="preserve">Cell adhesion/motility: phosphorylates β- and δ-catenin to regulate focal adhesion turnover (Demuro et al., 2022; Marotta et al., 2022).</w:t>
      </w:r>
      <w:r>
        <w:br/>
      </w:r>
      <w:r>
        <w:t xml:space="preserve">Cell survival: phosphorylation of PIKE-A promotes Akt-mediated anti-apoptotic signalling (Tang et al., 2007; Saminathan et al., 2021).</w:t>
      </w:r>
      <w:r>
        <w:br/>
      </w:r>
      <w:r>
        <w:t xml:space="preserve">Renal filtration integrity: targets NPHS1 and TRPC6 in podocytes (Demuro et al., 2022).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 inhibitors such as dasatinib and saracatinib inhibit Fyn but lack SFK selectivity (Marotta et al., 2022; Comba et al., 2020). Rosmarinic acid, identified by in silico docking and enzymatic assays, acts as a mixed-type inhibitor, potentially engaging an allosteric site (Jelić et al., 2007).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Fyn dysregulation is linked to Alzheimer’s disease (tau phosphorylation) and to oncogenic processes involving aberrant survival and migration signalling. Genetic/biochemical data also associate Fyn with immune deficiencies and neurodevelopmental disorders (Demuro et al., 2022; Mkaddem et al., 2017; Ouyang et al., 2018).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Andoniou, C. E., Lill, N. L., Thien, C. B. F., Lupher, M. L., Ota, S., Bowtell, D. D. L., … Band, H. (2000). The Cbl proto-oncogene product negatively regulates the Src-family tyrosine kinase Fyn by enhancing its degradation. Molecular and Cellular Biology, 20, 851–867. https://doi.org/10.1128/MCB.20.3.851-867.2000</w:t>
      </w:r>
    </w:p>
    <w:p>
      <w:pPr>
        <w:pStyle w:val="BodyText"/>
      </w:pPr>
      <w:r>
        <w:t xml:space="preserve">Bhaskar, K., Yen, S.-H., &amp; Lee, G. (2005). Disease-related modifications in tau affect the interaction between Fyn and tau. Journal of Biological Chemistry, 280, 35119–35125. https://doi.org/10.1074/jbc.M505895200</w:t>
      </w:r>
    </w:p>
    <w:p>
      <w:pPr>
        <w:pStyle w:val="BodyText"/>
      </w:pPr>
      <w:r>
        <w:t xml:space="preserve">Brignatz, C., Paronetto, M., Opi, S., Cappellari, M., Audebert, S., Feuillet, V., … Collette, Y. (2009). Alternative splicing modulates autoinhibition and SH3 accessibility in the Src kinase Fyn. Molecular and Cellular Biology, 29, 6438–6448. https://doi.org/10.1128/MCB.00398-09</w:t>
      </w:r>
    </w:p>
    <w:p>
      <w:pPr>
        <w:pStyle w:val="BodyText"/>
      </w:pPr>
      <w:r>
        <w:t xml:space="preserve">Comba, A., Dunn, P. J., &amp; Argento, A. E. (2020). Fyn tyrosine kinase, a downstream target of receptor tyrosine kinases, modulates antiglioma immune responses. Neuro-Oncology. https://doi.org/10.1093/neuonc/noaa006</w:t>
      </w:r>
    </w:p>
    <w:p>
      <w:pPr>
        <w:pStyle w:val="BodyText"/>
      </w:pPr>
      <w:r>
        <w:t xml:space="preserve">Demuro, S., Sauvey, C., Tripathi, S. K., Di Martino, R. M. C., Shi, D., Ortega, J. A., … Cavalli, A. (2022). ARN25068, a versatile starting point towards triple GSK-3β/Fyn/DYRK1A inhibitors to tackle tau-related neurological disorders. European Journal of Medicinal Chemistry, 229, 114054. https://doi.org/10.1016/j.ejmech.2021.114054</w:t>
      </w:r>
    </w:p>
    <w:p>
      <w:pPr>
        <w:pStyle w:val="BodyText"/>
      </w:pPr>
      <w:r>
        <w:t xml:space="preserve">Huculeci, R., Cilia, E., Lyczek, A., Buts, L., Houben, K., Seeliger, M. A., … Lenaerts, T. (2016). Dynamically coupled residues within the SH2 domain of Fyn are key to unlocking its activity. Structure, 24, 1947–1959. https://doi.org/10.1016/j.str.2016.08.016</w:t>
      </w:r>
    </w:p>
    <w:p>
      <w:pPr>
        <w:pStyle w:val="BodyText"/>
      </w:pPr>
      <w:r>
        <w:t xml:space="preserve">Jelić, D., Mildner, B., Koštrun, S., Nujić, K., Verbanac, D., Čulić, O., … Brandt, W. (2007). Homology modeling of human Fyn kinase structure: discovery of rosmarinic acid as a new Fyn kinase inhibitor and in silico study of its possible binding modes. Journal of Medicinal Chemistry, 50, 1090–1100. https://doi.org/10.1021/jm0607202</w:t>
      </w:r>
    </w:p>
    <w:p>
      <w:pPr>
        <w:pStyle w:val="BodyText"/>
      </w:pPr>
      <w:r>
        <w:t xml:space="preserve">Marotta, G., Basagni, F., Rosini, M., &amp; Minarini, A. (2022). Role of Fyn kinase inhibitors in switching neuroinflammatory pathways. Current Medicinal Chemistry, 29, 4738–4755. https://doi.org/10.2174/0929867329666211221153719</w:t>
      </w:r>
    </w:p>
    <w:p>
      <w:pPr>
        <w:pStyle w:val="BodyText"/>
      </w:pPr>
      <w:r>
        <w:t xml:space="preserve">Mkaddem, S. B., Murua, A., Flament, H., Titeca-Beauport, D., Bounaix, C., Danelli, L., … Monteiro, R. C. (2017). Lyn and Fyn function as molecular switches that control immunoreceptors to direct homeostasis or inflammation. Nature Communications, 8, 2255. https://doi.org/10.1038/s41467-017-00294-0</w:t>
      </w:r>
    </w:p>
    <w:p>
      <w:pPr>
        <w:pStyle w:val="BodyText"/>
      </w:pPr>
      <w:r>
        <w:t xml:space="preserve">Ouyang, M., Wan, R., Qin, Q., Peng, Q., Wang, P., Wu, J., … Wang, Y. (2018). Sensitive FRET biosensor reveals Fyn kinase regulation by submembrane localization. ACS Sensors, 4, 76–86. https://doi.org/10.1021/acssensors.8b00896</w:t>
      </w:r>
    </w:p>
    <w:p>
      <w:pPr>
        <w:pStyle w:val="BodyText"/>
      </w:pPr>
      <w:r>
        <w:t xml:space="preserve">Register, A. C., Leonard, S. E., &amp; Maly, D. J. (2014). SH2-catalytic domain linker heterogeneity influences allosteric coupling across the SFK family. Biochemistry, 53, 6910–6923. https://doi.org/10.1021/bi5008194</w:t>
      </w:r>
    </w:p>
    <w:p>
      <w:pPr>
        <w:pStyle w:val="BodyText"/>
      </w:pPr>
      <w:r>
        <w:t xml:space="preserve">Sakkiah, S., Cao, G. P., Gupta, S. P., &amp; Lee, K. W. (2017). Overview of the structure and function of protein kinases. Current Enzyme Inhibition, 13, 81–88. https://doi.org/10.2174/1573408013666161226155608</w:t>
      </w:r>
    </w:p>
    <w:p>
      <w:pPr>
        <w:pStyle w:val="BodyText"/>
      </w:pPr>
      <w:r>
        <w:t xml:space="preserve">Saminathan, H., Ghosh, A., Zhang, D., Song, C., Jin, H., Anantharam, V., … Kanthasamy, A. G. (2021). Fyn kinase-mediated PKCδ Y311 phosphorylation induces dopaminergic degeneration: implications for a new pharmacological target for Parkinson’s disease. Frontiers in Pharmacology. https://doi.org/10.3389/fphar.2021.631375</w:t>
      </w:r>
    </w:p>
    <w:p>
      <w:pPr>
        <w:pStyle w:val="BodyText"/>
      </w:pPr>
      <w:r>
        <w:t xml:space="preserve">Tang, X., Feng, Y., &amp; Ye, K. (2007). Fyn phosphorylates phosphatidylinositol 3-kinase enhancer-activating Akt, preventing its apoptotic cleavage and promoting cell survival. Cell Death and Differentiation, 14, 368–377. https://doi.org/10.1038/sj.cdd.4402011</w:t>
      </w:r>
    </w:p>
    <w:p>
      <w:pPr>
        <w:pStyle w:val="BodyText"/>
      </w:pPr>
      <w:r>
        <w:t xml:space="preserve">Weir, M. E., Mann, J. E., Corwin, T., Fulton, Z. W., Hao, J. M., Maniscalco, J. F., … Hinkle, K. L. (2016). Novel autophosphorylation sites of Src family kinases regulate kinase activity and SH2 domain-binding capacity. FEBS Letters, 590, 1042–1052. https://doi.org/10.1002/1873-3468.12144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2025-06-25T18:29:32Z</dcterms:created>
  <dcterms:modified xsi:type="dcterms:W3CDTF">2025-06-25T18:29:32Z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