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HCK is a member of the Src family of non-receptor tyrosine kinases. Orthologs occur throughout vertebrates and the catalytic domain is highly conserved, reflecting an evolutionary origin in early metazoans. Within the human kinome, HCK clusters with c-Src, Lyn, Fgr, Fyn, Blk, Lck and Yes (Ayrapetov, 2006; Lin, 2005; Kwon, 2019).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[protein]-tyrosine ⇌ ADP + H⁺ + [protein]-phosphotyrosine (Ayrapetov, 2006; Corwin,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coordination and phosphoryl transfer (Ayrapetov, 2006; Lin,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Substrate recognition involves both the catalytic pocket and the SH2/SH3 docking modules. HCK phosphorylates adaptor and signaling proteins such as CBL, ADAM15, BCR, ELMO1, FCGR2A, GAB1/2, RAPGEF1, STAT5B, TP73, VAV1 and WAS. No simple linear consensus is apparent; specificity is dictated by residues flanking the target tyrosine together with SH2-mediated docking to phosphotyrosine motifs generated during signaling (Bhanumathy et al., 2021; Corwin,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HCK comprises:</w:t>
      </w:r>
      <w:r>
        <w:br/>
      </w:r>
      <w:r>
        <w:t xml:space="preserve">• SH4 domain—myristoylated (and sometimes palmitoylated) for membrane association.</w:t>
      </w:r>
      <w:r>
        <w:br/>
      </w:r>
      <w:r>
        <w:t xml:space="preserve">• Unique region—isoform-specific interactions.</w:t>
      </w:r>
      <w:r>
        <w:br/>
      </w:r>
      <w:r>
        <w:t xml:space="preserve">• SH3 domain—binds proline-rich ligands and participates in autoinhibition.</w:t>
      </w:r>
      <w:r>
        <w:br/>
      </w:r>
      <w:r>
        <w:t xml:space="preserve">• SH2 domain—recognises phosphotyrosine motifs.</w:t>
      </w:r>
      <w:r>
        <w:br/>
      </w:r>
      <w:r>
        <w:t xml:space="preserve">• Bilobal kinase domain—contains the activation loop, hydrophobic spine and C-helix essential for activity.</w:t>
      </w:r>
      <w:r>
        <w:br/>
      </w:r>
      <w:r>
        <w:t xml:space="preserve">• C-terminal tail—phosphorylation of a regulatory tyrosine promotes SH2 binding and autoinhibition.</w:t>
      </w:r>
      <w:r>
        <w:br/>
      </w:r>
      <w:r>
        <w:t xml:space="preserve">This modular architecture underlies localization, substrate docking and regulated catalytic output (Ayrapetov, 2006; Lin, 2005; Corwin,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by multiple phosphorylation events and intramolecular interactions. Autophosphorylation within the activation loop activates the enzyme, whereas C-terminal tail phosphorylation by Csk enforces a closed, inactive conformation. Displacement of SH3/SH2 contacts by competing ligands or engineered insertions can trigger activation; for example, the HckFL-Bad variant is reversibly activated by the small-molecule disruptor A-1155463 (Ayrapetov, 2006; Lin, 2005; Bienick, 2019; Corwin,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HCK is predominantly expressed in hematopoietic cells (neutrophils, monocytes, macrophages, mast cells). It transduces signals from Fcγ receptors, CSF3R, IFNG, IL-2/6/8 receptors and integrins. Downstream phosphorylation of CBL, ADAM15, BCR, ELMO1, GAB1/2, RAPGEF1, STAT5B, TP73, VAV1 and WAS coordinates:</w:t>
      </w:r>
      <w:r>
        <w:br/>
      </w:r>
      <w:r>
        <w:t xml:space="preserve">• Secretory lysosome mobilization, degranulation and NADPH oxidase activation during phagocytosis.</w:t>
      </w:r>
      <w:r>
        <w:br/>
      </w:r>
      <w:r>
        <w:t xml:space="preserve">• Actin cytoskeleton remodeling, podosome formation and cell migration.</w:t>
      </w:r>
      <w:r>
        <w:br/>
      </w:r>
      <w:r>
        <w:t xml:space="preserve">• Negative regulation of TP73-driven transcription and apoptosis (Bhanumathy et al., 2021; Corwin, 2016; Ubau, 2013).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 small-molecule inhibitors and engineered control systems have been developed. The SH3/SH2-disrupting compound A-1155463 potently activates an engineered HCK variant; additional ATP-competitive inhibitors are being explored, guided by principles established for Src family kinases (Bienick, 2019; Ayrapetov, 2006).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HCK activity contributes to leukemogenesis and other hematological malignancies, making the kinase a therapeutic target. Mutations in catalytic or regulatory domains and network connectivity with upstream receptors highlight the need for refined pharmacological strategies (Bhanumathy et al., 2021; Corwin, 2016).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Ayrapetov, M. K. (2006). Structural and functional studies of the Csk and Src family protein tyrosine kinases (Doctoral dissertation). University of Rhode Island. https://doi.org/10.23860/diss-2090</w:t>
      </w:r>
    </w:p>
    <w:p>
      <w:pPr>
        <w:pStyle w:val="BodyText"/>
      </w:pPr>
      <w:r>
        <w:t xml:space="preserve">Bhanumathy, K. K., Balagopal, A., Vizeacoumar, F. S., Vizeacoumar, F. J., Freywald, A., &amp; Giambra, V. (2021). Protein tyrosine kinases: Their roles and their targeting in leukemia. Cancers, 13, 184. https://doi.org/10.3390/cancers13020184</w:t>
      </w:r>
    </w:p>
    <w:p>
      <w:pPr>
        <w:pStyle w:val="BodyText"/>
      </w:pPr>
      <w:r>
        <w:t xml:space="preserve">Bienick, M. (2019). Engineered control over enzyme activity. [Journal unknown].</w:t>
      </w:r>
    </w:p>
    <w:p>
      <w:pPr>
        <w:pStyle w:val="BodyText"/>
      </w:pPr>
      <w:r>
        <w:t xml:space="preserve">Corwin, T. (2016). Deciphering human cytoplasmic protein tyrosine kinase phosphorylation specificity in yeast. [Journal unknown].</w:t>
      </w:r>
    </w:p>
    <w:p>
      <w:pPr>
        <w:pStyle w:val="BodyText"/>
      </w:pPr>
      <w:r>
        <w:t xml:space="preserve">Lin, X. (2005). Probing the regulatory mechanisms of protein tyrosine kinases, using C-terminal Src kinase (Csk) as a model system (Doctoral dissertation). University of Rhode Island. https://doi.org/10.23860/diss-2047</w:t>
      </w:r>
    </w:p>
    <w:p>
      <w:pPr>
        <w:pStyle w:val="BodyText"/>
      </w:pPr>
      <w:r>
        <w:t xml:space="preserve">Kwon, H. A. (2019). Tracing the evolution of the tyrosine kinome from sequence to function. [Journal unknown].</w:t>
      </w:r>
    </w:p>
    <w:p>
      <w:pPr>
        <w:pStyle w:val="BodyText"/>
      </w:pPr>
      <w:r>
        <w:t xml:space="preserve">Ubau, A. P. (2013). Functional characterization of non-receptor tyrosine kinase dependent signal transduction in acute lymphoblastic leukemia of childhood. [Journal unknown].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2025-06-25T18:06:24Z</dcterms:created>
  <dcterms:modified xsi:type="dcterms:W3CDTF">2025-06-25T18:06:24Z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