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Tyrosine-protein kinase ITK belongs to the Tec family of non-receptor tyrosine kinases, which forms an independent branch of the vertebrate kinome devoted largely to adaptive immunity (Zhong et al., 2014). Orthologs are present in mammals and earlier vertebrates, and the conserved catalytic core and multi-domain architecture have been maintained throughout vertebrate evolution (Devkota et al., 2017).</w:t>
      </w:r>
    </w:p>
    <w:bookmarkEnd w:id="9"/>
    <w:bookmarkStart w:id="10" w:name="reaction-catalyzed"/>
    <w:p>
      <w:pPr>
        <w:pStyle w:val="Heading2"/>
      </w:pPr>
      <w:r>
        <w:t xml:space="preserve">Reaction Catalyzed</w:t>
      </w:r>
    </w:p>
    <w:p>
      <w:pPr>
        <w:pStyle w:val="FirstParagraph"/>
      </w:pPr>
      <w:r>
        <w:t xml:space="preserve">ATP + protein-(L-tyrosine) ⇌ ADP + protein-(L-tyrosine-phosphate) + H⁺ (Zhong et al., 2014).</w:t>
      </w:r>
    </w:p>
    <w:bookmarkEnd w:id="10"/>
    <w:bookmarkStart w:id="11" w:name="cofactor-requirements"/>
    <w:p>
      <w:pPr>
        <w:pStyle w:val="Heading2"/>
      </w:pPr>
      <w:r>
        <w:t xml:space="preserve">Cofactor Requirements</w:t>
      </w:r>
    </w:p>
    <w:p>
      <w:pPr>
        <w:pStyle w:val="FirstParagraph"/>
      </w:pPr>
      <w:r>
        <w:t xml:space="preserve">Mg²⁺ is required to coordinate ATP and support phosphoryl transfer (Zhong et al., 2014; Howe et al., 2019).</w:t>
      </w:r>
    </w:p>
    <w:bookmarkEnd w:id="11"/>
    <w:bookmarkStart w:id="12" w:name="substrate-specificity"/>
    <w:p>
      <w:pPr>
        <w:pStyle w:val="Heading2"/>
      </w:pPr>
      <w:r>
        <w:t xml:space="preserve">Substrate Specificity</w:t>
      </w:r>
    </w:p>
    <w:p>
      <w:pPr>
        <w:pStyle w:val="FirstParagraph"/>
      </w:pPr>
      <w:r>
        <w:t xml:space="preserve">ITK preferentially phosphorylates tyrosine residues in key T-cell signaling proteins, including PLCG1, LAT, LCP2/SLP-76, and the transcription factor TBX21 at Tyr530. Although no strict consensus sequence has been defined, substrates generally participate in T-cell receptor signaling complexes (Basu, 2023; Kannan, 2015).</w:t>
      </w:r>
    </w:p>
    <w:bookmarkEnd w:id="12"/>
    <w:bookmarkStart w:id="13" w:name="structure"/>
    <w:p>
      <w:pPr>
        <w:pStyle w:val="Heading2"/>
      </w:pPr>
      <w:r>
        <w:t xml:space="preserve">Structure</w:t>
      </w:r>
    </w:p>
    <w:p>
      <w:pPr>
        <w:pStyle w:val="FirstParagraph"/>
      </w:pPr>
      <w:r>
        <w:t xml:space="preserve">ITK exhibits a modular fold: an N-terminal PH domain that binds PIP₃, a Tec Homology (TH) region containing a zinc-binding BH motif and proline-rich segments, followed by SH3 and SH2 domains, and a C-terminal kinase (SH1) domain. Activation loop residue Tyr511 within the kinase domain is phosphorylated by LCK, while autophosphorylation on Tyr180 in the SH3 domain further modulates activity. Structural studies and benzothiazole inhibitors highlight the ATP-binding pocket as a selectivity determinant (Devkota et al., 2017; Mackinnon et al., 2013; Zhong et al., 2014).</w:t>
      </w:r>
    </w:p>
    <w:bookmarkEnd w:id="13"/>
    <w:bookmarkStart w:id="14" w:name="regulation"/>
    <w:p>
      <w:pPr>
        <w:pStyle w:val="Heading2"/>
      </w:pPr>
      <w:r>
        <w:t xml:space="preserve">Regulation</w:t>
      </w:r>
    </w:p>
    <w:p>
      <w:pPr>
        <w:pStyle w:val="FirstParagraph"/>
      </w:pPr>
      <w:r>
        <w:t xml:space="preserve">In resting T cells, intramolecular contacts among PH, TH, SH3, and SH2 domains maintain ITK in an autoinhibited conformation. T-cell receptor engagement activates PI3K, generating PIP₃ that recruits ITK to the plasma membrane via its PH domain. Subsequent phosphorylation of Tyr511 by LCK and autophosphorylation of Tyr180 release autoinhibition, producing the catalytically competent kinase. Additional conformational shifts and domain rearrangements fine-tune activity (Devkota et al., 2017; Hsu et al., 2023; Zhong et al., 2014).</w:t>
      </w:r>
    </w:p>
    <w:bookmarkEnd w:id="14"/>
    <w:bookmarkStart w:id="15" w:name="function"/>
    <w:p>
      <w:pPr>
        <w:pStyle w:val="Heading2"/>
      </w:pPr>
      <w:r>
        <w:t xml:space="preserve">Function</w:t>
      </w:r>
    </w:p>
    <w:p>
      <w:pPr>
        <w:pStyle w:val="FirstParagraph"/>
      </w:pPr>
      <w:r>
        <w:t xml:space="preserve">ITK is selectively expressed in αβ T cells, γδ T cells, and NKT cells, where it is essential for development, activation, and differentiation. Upon antigen recognition, active ITK phosphorylates PLCG1, leading to IP₃/DAG production and Ca²⁺ signaling; it also phosphorylates LAT and LCP2, scaffolding downstream effectors such as VAV1. Phosphorylation of TBX21 modulates T-helper lineage decisions. Collectively, these events drive cytokine production, proliferation, and subset specification of T lymphocytes (Huang, 2014; Kannan, 2015; Lechner et al., 2020; Zhong et al., 2014).</w:t>
      </w:r>
    </w:p>
    <w:bookmarkEnd w:id="15"/>
    <w:bookmarkStart w:id="16" w:name="inhibitors"/>
    <w:p>
      <w:pPr>
        <w:pStyle w:val="Heading2"/>
      </w:pPr>
      <w:r>
        <w:t xml:space="preserve">Inhibitors</w:t>
      </w:r>
    </w:p>
    <w:p>
      <w:pPr>
        <w:pStyle w:val="FirstParagraph"/>
      </w:pPr>
      <w:r>
        <w:t xml:space="preserve">Selective ATP-competitive ITK inhibitors—including benzothiazole derivatives and other covalent or non-covalent compounds—display sub-nanomolar potency and high isoform specificity (Kaur et al., 2012; Mackinnon et al., 2013; Hsu et al., 2023).</w:t>
      </w:r>
    </w:p>
    <w:bookmarkEnd w:id="16"/>
    <w:bookmarkStart w:id="17" w:name="other-comments"/>
    <w:p>
      <w:pPr>
        <w:pStyle w:val="Heading2"/>
      </w:pPr>
      <w:r>
        <w:t xml:space="preserve">Other Comments</w:t>
      </w:r>
    </w:p>
    <w:p>
      <w:pPr>
        <w:pStyle w:val="FirstParagraph"/>
      </w:pPr>
      <w:r>
        <w:t xml:space="preserve">Aberrant ITK signaling is implicated in autoimmune disease, allergic asthma, and lymphoproliferative disorders, while ITK deficiency causes immunodeficiency. Pharmacological modulation of ITK is therefore a promising therapeutic strategy (Lechner et al., 2020; Kaur et al., 2012).</w:t>
      </w:r>
    </w:p>
    <w:bookmarkEnd w:id="17"/>
    <w:bookmarkStart w:id="18" w:name="references"/>
    <w:p>
      <w:pPr>
        <w:pStyle w:val="Heading2"/>
      </w:pPr>
      <w:r>
        <w:t xml:space="preserve">9. References</w:t>
      </w:r>
    </w:p>
    <w:p>
      <w:pPr>
        <w:pStyle w:val="FirstParagraph"/>
      </w:pPr>
      <w:r>
        <w:t xml:space="preserve">Basu, I. (2023). Gap junctional intercellular communication: role of Cx43 phosphorylation by tyrosine kinases (pp. 163–165).</w:t>
      </w:r>
    </w:p>
    <w:p>
      <w:pPr>
        <w:pStyle w:val="BodyText"/>
      </w:pPr>
      <w:r>
        <w:t xml:space="preserve">Devkota, S., Joseph, R. E., Boyken, S. E., Fulton, D. B., &amp; Andreotti, A. H. (2017). An autoinhibitory role for the pleckstrin homology domain of interleukin-2-inducible tyrosine kinase and its interplay with canonical phospholipid recognition. Biochemistry, 56, 2938-2949. https://doi.org/10.1021/acs.biochem.6b01182</w:t>
      </w:r>
    </w:p>
    <w:p>
      <w:pPr>
        <w:pStyle w:val="BodyText"/>
      </w:pPr>
      <w:r>
        <w:t xml:space="preserve">Howe, M. K., Dowdell, K., Roy, A., Niemela, J. E., Wilson, W., McElwee, J. J., Hughes, J. D., &amp; Cohen, J. I. (2019). Magnesium restores activity to peripheral blood cells in a patient with functionally impaired interleukin-2-inducible T cell kinase. Frontiers in Immunology. https://doi.org/10.3389/fimmu.2019.02000</w:t>
      </w:r>
    </w:p>
    <w:p>
      <w:pPr>
        <w:pStyle w:val="BodyText"/>
      </w:pPr>
      <w:r>
        <w:t xml:space="preserve">Hsu, L.-Y., Rosenbaum, J. T., Verner, E., Jones, W. B., Hill, C. M., Janc, J. W., … Miller, R. A. (2023). Selective inhibition of interleukin-2 inducible T cell kinase (ITK) enhances anti-tumor immunity in association with TH1-skewing, cytotoxic T cell activation, and reduced T cell exhaustion. bioRxiv. https://doi.org/10.1101/2023.07.05.547822</w:t>
      </w:r>
    </w:p>
    <w:p>
      <w:pPr>
        <w:pStyle w:val="BodyText"/>
      </w:pPr>
      <w:r>
        <w:t xml:space="preserve">Huang, W. (2014). Function of IL-2-inducible T cell kinase (ITK) in innate T cells and mast cells (pp. 11–15).</w:t>
      </w:r>
    </w:p>
    <w:p>
      <w:pPr>
        <w:pStyle w:val="BodyText"/>
      </w:pPr>
      <w:r>
        <w:t xml:space="preserve">Kannan, A. (2015). Requirement for ITK kinase activity for TH1, TH2, TH17 and iNKT cell cytokine production revealed by an allele-sensitive mutant (pp. 8–11).</w:t>
      </w:r>
    </w:p>
    <w:p>
      <w:pPr>
        <w:pStyle w:val="BodyText"/>
      </w:pPr>
      <w:r>
        <w:t xml:space="preserve">Kaur, M., Bahia, M. S., &amp; Silakari, O. (2012). Inhibitors of interleukin-2 inducible T-cell kinase as potential therapeutic candidates for the treatment of various inflammatory disease conditions. European Journal of Pharmaceutical Sciences, 47(3), 574-588. https://doi.org/10.1016/j.ejps.2012.07.013</w:t>
      </w:r>
    </w:p>
    <w:p>
      <w:pPr>
        <w:pStyle w:val="BodyText"/>
      </w:pPr>
      <w:r>
        <w:t xml:space="preserve">Lechner, K. S., Neurath, M. F., &amp; Weigmann, B. (2020). Role of the IL-2 inducible tyrosine kinase ITK and its inhibitors in disease pathogenesis. Journal of Molecular Medicine, 98, 1385-1395. https://doi.org/10.1007/s00109-020-01958-z</w:t>
      </w:r>
    </w:p>
    <w:p>
      <w:pPr>
        <w:pStyle w:val="BodyText"/>
      </w:pPr>
      <w:r>
        <w:t xml:space="preserve">Mackinnon, C. H., Lau, K., Burch, J. D., Chen, Y., Dines, J., Ding, X., … Pei, Z. (2013). Structure-based design and synthesis of potent benzothiazole inhibitors of interleukin-2 inducible T cell kinase (ITK). Bioorganic &amp; Medicinal Chemistry Letters, 23, 6331-6335. https://doi.org/10.1016/j.bmcl.2013.09.069</w:t>
      </w:r>
    </w:p>
    <w:p>
      <w:pPr>
        <w:pStyle w:val="BodyText"/>
      </w:pPr>
      <w:r>
        <w:t xml:space="preserve">Zhong, Y., Johnson, A., Byrd, J., &amp; Dubovsky, J. (2014). Targeting interleukin-2-inducible T-cell kinase (ITK) in T-cell related diseases. Postdoc Journal, 2(6), 1-11. https://doi.org/10.14304/surya.jpr.v2n6.1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2025-06-25T17:59:24Z</dcterms:created>
  <dcterms:modified xsi:type="dcterms:W3CDTF">2025-06-25T17:59:24Z</dcterms:modified>
</cp:coreProperties>
</file>

<file path=docProps/custom.xml><?xml version="1.0" encoding="utf-8"?>
<Properties xmlns="http://schemas.openxmlformats.org/officeDocument/2006/custom-properties" xmlns:vt="http://schemas.openxmlformats.org/officeDocument/2006/docPropsVTypes"/>
</file>