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Lck is a Src-family, non-receptor tyrosine kinase largely confined to lymphoid lineages. Sequence analyses place Lck in the Src-module subgroup that emerged early in metazoan evolution and retains the characteristic SH3-SH2-kinase domain architecture seen in paralogs such as Src, Fyn and Lyn (Korade-Mirnics &amp; Corey, 2000; Kwon, 2019). Orthologues span invertebrate chordates through mammals; the presence of Lck in amphioxus (Branchiostoma belcheri) underscores its deep conservation in immune-related signalling (Zhou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[protein]-tyrosine ⇌ ADP + [protein]-O-phosphotyrosine + H⁺ (Chylek et al.,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to coordinate ATP during phosphoryl transfer (Chylek et al., 2014; Loris, 2007).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Lck phosphorylates tyrosine residues within immunoreceptor tyrosine-based activation motifs (ITAMs) on CD3 and ζ-chain subunits of the T-cell receptor complex. Substrate docking is assisted by its SH2 domain (phosphotyrosine binding) and SH3 domain (proline-rich motif binding). Membrane recruitment via CD4/CD8 and other partners further restricts phosphorylation to appropriately clustered ITAMs, thereby creating ZAP-70 docking sites (Samraj, 2005; Chylek et al., 2014; Korade-Mirnics &amp; Corey, 2000).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Canonical Src-family layout:</w:t>
      </w:r>
      <w:r>
        <w:br/>
      </w:r>
      <w:r>
        <w:t xml:space="preserve">• N-terminal unique region bearing myristoylation (and often palmitoylation) for membrane attachment.</w:t>
      </w:r>
      <w:r>
        <w:br/>
      </w:r>
      <w:r>
        <w:t xml:space="preserve">• SH3 → SH2 → catalytic (SH1) kinase domain.</w:t>
      </w:r>
      <w:r>
        <w:br/>
      </w:r>
      <w:r>
        <w:t xml:space="preserve">• C-terminal tail with regulatory Tyr505.</w:t>
      </w:r>
      <w:r>
        <w:br/>
      </w:r>
      <w:r>
        <w:t xml:space="preserve">Phosphorylation of Tyr505 promotes an SH2-tail intramolecular interaction that locks an autoinhibited conformation, whereas phosphorylation of Tyr394 in the activation loop stabilises the active state. Structural studies highlight a hydrophobic regulatory spine and C-helix repositioning as key elements of this switch (Majeti, 2000; Posevitz, 2007; Loris, 2007; Kwon,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controlled by two opposing phosphorylation sites: autophosphorylation at Tyr394 activates Lck, while C-terminal Src kinase (Csk) phosphorylates Tyr505 to inactivate it. CD45 phosphatase removes the Tyr505 phosphate, maintaining Lck in a primed state for rapid activation after T-cell receptor engagement. Reversible myristoylation/palmitoylation regulates membrane localisation and microdomain targeting, adding an additional layer of control (Majeti, 2000; Okada, 2012; Korade-Mirnics &amp; Corey, 2000; Posevitz, 2007; Samraj, 2005).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Expressed throughout thymocyte maturation and in peripheral T cells, Lck initiates T-cell receptor signalling by phosphorylating ITAMs on CD3/ζ-chain subunits, thereby recruiting and activating ZAP-70. Subsequent cascades drive cytokine production, proliferation and differentiation. Lck also participates in signalling by CD2, IL-2 receptor and other surface receptors, and phosphorylates additional substrates (RUNX3, PTK2B/PYK2, MAPT, RHOH, TYROBP) linking it to adhesion, migration and apoptosis pathways (Chylek et al., 2014; Samraj, 2005; Posevitz, 2007).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Multiple experimental ATP-competitive inhibitors that broadly target Src-family kinases have been evaluated for immunomodulation and anti-cancer therapy, but their selectivity for Lck versus other Src-family members remains limited (Posevitz, 2007; Okada, 2012).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Dysregulated Lck activity contributes to T-cell leukaemias and thymic tumours, whereas loss or mis-regulation impairs T-cell development and causes immunodeficiency. The evolutionary conservation of Lck across vertebrates and invertebrate chordates highlights its pivotal role in immune signalling (Samraj, 2005; Majeti, 2000; Zhou et al., 2021; Kwon, 2019).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Chylek, L. A., Akimov, V., Dengjel, J., Rigbolt, K. T. G., Hu, B., Hlavacek, W. S., &amp; Blagoev, B. (2014). Phosphorylation site dynamics of early T-cell receptor signaling. PLoS ONE, 9, e104240. https://doi.org/10.1371/journal.pone.0104240</w:t>
      </w:r>
    </w:p>
    <w:p>
      <w:pPr>
        <w:pStyle w:val="BodyText"/>
      </w:pPr>
      <w:r>
        <w:t xml:space="preserve">Korade-Mirnics, Ž., &amp; Corey, S. J. (2000). Src kinase-mediated signaling in leukocytes. Journal of Leukocyte Biology, 68, 603-613. https://doi.org/10.1189/jlb.68.5.603</w:t>
      </w:r>
    </w:p>
    <w:p>
      <w:pPr>
        <w:pStyle w:val="BodyText"/>
      </w:pPr>
      <w:r>
        <w:t xml:space="preserve">Kwon, H. A. (2019). Tracing the evolution of the tyrosine kinome from sequence to function. [Journal unknown].</w:t>
      </w:r>
    </w:p>
    <w:p>
      <w:pPr>
        <w:pStyle w:val="BodyText"/>
      </w:pPr>
      <w:r>
        <w:t xml:space="preserve">Zhou, J., Xiao, Z., Zhan, Y., Qu, X., Mou, S., Deng, C., Zhang, T., Lan, X., Huang, S., &amp; Li, Y. (2021). Identification and characterization of the amphioxus Lck and its associated tyrosine phosphorylation-dependent inhibitory LRR receptor. Frontiers in Immunology, 12, 656366. https://doi.org/10.3389/fimmu.2021.656366</w:t>
      </w:r>
    </w:p>
    <w:p>
      <w:pPr>
        <w:pStyle w:val="BodyText"/>
      </w:pPr>
      <w:r>
        <w:t xml:space="preserve">Majeti, R. (2000). Negative regulation of the receptor protein tyrosine phosphatase CD45 by dimerization is mediated by an inhibitory structural wedge. [Journal unknown].</w:t>
      </w:r>
    </w:p>
    <w:p>
      <w:pPr>
        <w:pStyle w:val="BodyText"/>
      </w:pPr>
      <w:r>
        <w:t xml:space="preserve">Posevitz, A. (2007). Functional elucidation of PAG through the generation of truncation and point mutants. [Journal unknown].</w:t>
      </w:r>
    </w:p>
    <w:p>
      <w:pPr>
        <w:pStyle w:val="BodyText"/>
      </w:pPr>
      <w:r>
        <w:t xml:space="preserve">Okada, M. (2012). Regulation of the Src family kinases by Csk. International Journal of Biological Sciences, 8, 1385-1397. https://doi.org/10.7150/ijbs.5141</w:t>
      </w:r>
    </w:p>
    <w:p>
      <w:pPr>
        <w:pStyle w:val="BodyText"/>
      </w:pPr>
      <w:r>
        <w:t xml:space="preserve">Samraj, A. K. (2005). Role for tyrosine kinase Lck in regulation of apoptotic pathways. [Journal unknown].</w:t>
      </w:r>
    </w:p>
    <w:p>
      <w:pPr>
        <w:pStyle w:val="BodyText"/>
      </w:pPr>
      <w:r>
        <w:t xml:space="preserve">Loris, M. (2007). Exploring structure and plasticity of tyrosine kinase domains for drug discovery. [Journal unknown].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2025-06-25T18:48:19Z</dcterms:created>
  <dcterms:modified xsi:type="dcterms:W3CDTF">2025-06-25T18:48:19Z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