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Proto-oncogene tyrosine-protein kinase Src (SRC) belongs to the Src family kinases (SFKs), a conserved group of at least nine non-receptor protein tyrosine kinases (Src, Fyn, Yes, Lck, Lyn, Hck, Blk, Fgr, Yrk) that emerged early in metazoan evolution (Lin, 2005; Ayrapetov, 2006). Sequence-based phylogenetic analyses indicate that SFK diversification paralleled the appearance of increasingly complex receptor systems in multicellular organisms. SRC is closely related to C-terminal Src kinase (Csk) and its homologues, which share a similar domain architecture and antagonize SRC activity (Ayrapetov, 2006; Lin, 2005).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[protein]-OH(tyrosine) ⇌ ADP + [protein]-O-PO₃²⁻(phosphotyrosine) + H⁺ (Ayrapetov, 2006; Lin, 2005).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to coordinate ATP in the active site and enable phosphotransfer (Ayrapetov, 2006; Lin, 2005).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SRC phosphorylates tyrosine residues and selects substrates through its catalytic domain together with SH2 and SH3 modules.</w:t>
      </w:r>
      <w:r>
        <w:br/>
      </w:r>
      <w:r>
        <w:t xml:space="preserve">• SH2 domain: high affinity for phosphotyrosine motifs, especially pYEEI; the autoinhibitory intramolecular contact employs a non-canonical pTyr-Gln-Pro-Gly sequence (Ayrapetov, 2006).</w:t>
      </w:r>
      <w:r>
        <w:br/>
      </w:r>
      <w:r>
        <w:t xml:space="preserve">• SH3 domain: binds proline-rich regions in substrates, providing an additional layer of targeting (Korade-Mirnics &amp; Corey, 2000; Ayrapetov, 2006).</w:t>
      </w:r>
      <w:r>
        <w:br/>
      </w:r>
      <w:r>
        <w:t xml:space="preserve">Dual engagement by SH2/SH3 domains refines substrate selection and sub-cellular localization.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SRC is a modular kinase comprising:</w:t>
      </w:r>
      <w:r>
        <w:br/>
      </w:r>
      <w:r>
        <w:t xml:space="preserve">1. SH4 domain with an N-terminal myristoylation signal for membrane anchoring (Schenone et al., 2007; Ayrapetov, 2006).</w:t>
      </w:r>
      <w:r>
        <w:br/>
      </w:r>
      <w:r>
        <w:t xml:space="preserve">2. Unique region (poorly conserved) that mediates specific protein interactions.</w:t>
      </w:r>
      <w:r>
        <w:br/>
      </w:r>
      <w:r>
        <w:t xml:space="preserve">3. SH3 domain (proline-rich peptide binder).</w:t>
      </w:r>
      <w:r>
        <w:br/>
      </w:r>
      <w:r>
        <w:t xml:space="preserve">4. SH2 domain (phosphotyrosine binder).</w:t>
      </w:r>
      <w:r>
        <w:br/>
      </w:r>
      <w:r>
        <w:t xml:space="preserve">5. SH1 catalytic (kinase) domain with the canonical bilobed fold; autophosphorylation on Tyr416 (human Tyr419) in the activation loop maximizes catalytic activity, whereas phosphorylation of the C-terminal tail residue Tyr527 (human Tyr530) promotes intramolecular SH2 binding and maintains the inactive conformation (Ayrapetov, 2006).</w:t>
      </w:r>
      <w:r>
        <w:br/>
      </w:r>
      <w:r>
        <w:t xml:space="preserve">Proper positioning of the αC-helix and a hydrophobic spine stabilize the active state once autoinhibition is relieved (Ayrapetov, 2006; Schenone et al., 2007).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Inactivation: C-terminal phosphorylation on Tyr527/Tyr530 by Csk or Chk locks SRC in a closed conformation via SH2-tail binding; the SH3 domain concurrently interacts with a proline-rich internal linker (Ayrapetov, 2006).</w:t>
      </w:r>
      <w:r>
        <w:br/>
      </w:r>
      <w:r>
        <w:t xml:space="preserve">• Activation: Dephosphorylation of the C-terminal tyrosine permits an open conformation, followed by autophosphorylation of Tyr416/Tyr419 in the activation loop to achieve full activity (Ayrapetov, 2006; Lin, 2005).</w:t>
      </w:r>
      <w:r>
        <w:br/>
      </w:r>
      <w:r>
        <w:t xml:space="preserve">• Additional control: SH3-linker contacts (e.g., Trp260) reinforce autoinhibition, while N-terminal myristoylation targets SRC to membranes where receptor engagement facilitates activation (Ayrapetov, 2006; Schenone et al., 2007).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SRC is rapidly activated downstream of diverse receptors (immune receptors, integrins, receptor tyrosine kinases, GPCRs, and cytokine receptors) and phosphorylates substrates that regulate gene transcription, cell adhesion, cell-cycle progression, apoptosis, and migration (Ayrapetov, 2006; Sato, 2013; Korade-Mirnics &amp; Corey, 2000).</w:t>
      </w:r>
      <w:r>
        <w:br/>
      </w:r>
      <w:r>
        <w:t xml:space="preserve">• Example substrates: EGFR Tyr845 (mitogenic signaling) and focal adhesion kinase (FAK) during integrin-mediated adhesion and motility (Schenone et al., 2007; Korade-Mirnics &amp; Corey, 2000).</w:t>
      </w:r>
      <w:r>
        <w:br/>
      </w:r>
      <w:r>
        <w:t xml:space="preserve">Through its broad substrate range, SRC serves as a signaling hub influencing cytoskeletal remodeling, survival, and proliferation.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Numerous ATP-competitive small molecules, including PP1 and PP2, bind the SRC ATP pocket and inhibit kinase activity; these compounds are under investigation for anti-angiogenic and anti-tumor applications (Schenone et al., 2007).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Hyperactivation or overexpression of SRC is linked to several cancers (breast, colon, pancreatic, lung, and hematological malignancies), making SRC a prominent therapeutic target. Selectivity and toxicity remain challenges because of kinase domain conservation. Strategies under exploration include structure-guided design and allosteric inhibitors, as well as modulation of negative regulators such as Csk/Chk (Sato, 2013; Schenone et al., 2007; Ayrapetov, 2006).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Ayrapetov, M. K. (2006). Structural and functional studies of the Csk and Src family protein tyrosine kinases (PhD thesis). University of Rhode Island. https://doi.org/10.23860/diss-2090</w:t>
      </w:r>
    </w:p>
    <w:p>
      <w:pPr>
        <w:pStyle w:val="BodyText"/>
      </w:pPr>
      <w:r>
        <w:t xml:space="preserve">Korade-Mirnics, Ž., &amp; Corey, S. J. (2000). Src kinase-mediated signaling in leukocytes. Journal of Leukocyte Biology, 68, 603–613. https://doi.org/10.1189/jlb.68.5.603</w:t>
      </w:r>
    </w:p>
    <w:p>
      <w:pPr>
        <w:pStyle w:val="BodyText"/>
      </w:pPr>
      <w:r>
        <w:t xml:space="preserve">Lin, X. (2005). Probing the regulatory mechanisms of protein tyrosine kinases, using C-terminal Src kinase (Csk) as a model system (PhD thesis). University of Rhode Island. https://doi.org/10.23860/diss-2047</w:t>
      </w:r>
    </w:p>
    <w:p>
      <w:pPr>
        <w:pStyle w:val="BodyText"/>
      </w:pPr>
      <w:r>
        <w:t xml:space="preserve">Sato, K.-I. (2013). Cellular functions regulated by phosphorylation of EGFR on Tyr845. International Journal of Molecular Sciences, 14, 10761–10790. https://doi.org/10.3390/ijms140610761</w:t>
      </w:r>
    </w:p>
    <w:p>
      <w:pPr>
        <w:pStyle w:val="BodyText"/>
      </w:pPr>
      <w:r>
        <w:t xml:space="preserve">Schenone, S., Manetti, F., &amp; Botta, M. (2007). Src inhibitors and angiogenesis. Current Pharmaceutical Design, 13, 2118–2128. https://doi.org/10.2174/138161207781039580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2025-06-25T18:55:19Z</dcterms:created>
  <dcterms:modified xsi:type="dcterms:W3CDTF">2025-06-25T18:55:19Z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