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LIM domain kinase 2 (LIMK2) is retained throughout vertebrate evolution—including mammals, birds, amphibians—and is also detected in some invertebrates that require advanced cytoskeletal control (Ribba et al., 2022; Scott, 2010). The kinase shares ~50 % overall sequence identity with its paralogue LIMK1 and forms the closest branch to TESK kinases, which likewise regulate cofilin (Goyal, 2005; Scott, 2010). Phylogenetic analyses indicate that LIMK2 arose from an early vertebrate gene-duplication event and belongs to the conserved “core” kinome set governing actin dynamics (Ribba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 + H⁺</w:t>
      </w:r>
      <w:r>
        <w:br/>
      </w:r>
      <w:r>
        <w:t xml:space="preserve">A physiological example is Ser3 phosphorylation of ADF/cofilin, which suppresses its actin-severing activity (Brion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for ATP binding and phosphotransfer (Brion et al., 2021; Goyal,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kinase shows pronounced selectivity for ADF/cofilin family members, phosphorylating Ser3 and thereby blocking actin-filament severing. Although a strict consensus motif is undefined, efficient recognition depends on presentation of the cofilin N-terminus in a phosphorylation-competent conformation (Chatterjee et al., 2022; Ribba et al.,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LIMK2 comprises two N-terminal LIM zinc-finger domains that mediate protein interactions, a central PDZ domain influencing localisation, a Ser/Pro-rich linker region, and a C-terminal protein-kinase domain with the canonical bilobal fold (Goyal, 2005; Villalonga et al., 2023). The kinase domain possesses an unusual catalytic-loop sequence (DLNSHN) in sub-domain VIB and an activation loop that toggles between DFG-out (inactive) and DFG-in (active) states (Chatterjee et al., 2022; Manetti, 2012). Homodimerisation through LIM domains facilitates auto-phosphorylation and stabilisation of the active conformation (Chatterjee et al., 2022). Autoinhibitory contacts between the LIM/PDZ modules and the kinase domain have also been described (Goyal, 2005; Casanova-Sepúlveda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 on Thr505 by ROCK, PAKs and MRCKα markedly increases catalytic activity (Brion et al., 2021; Chatterjee et al., 2022).</w:t>
      </w:r>
      <w:r>
        <w:br/>
      </w:r>
      <w:r>
        <w:t xml:space="preserve">• Aurora-A can further stimulate LIMK2 via multi-site phosphorylation (Rak et al., 2014).</w:t>
      </w:r>
      <w:r>
        <w:br/>
      </w:r>
      <w:r>
        <w:t xml:space="preserve">• Intramolecular LIM- and PDZ-mediated autoinhibition is relieved upon appropriate upstream signals (Goyal, 2005; Casanova-Sepúlveda et al., 2023).</w:t>
      </w:r>
      <w:r>
        <w:br/>
      </w:r>
      <w:r>
        <w:t xml:space="preserve">• Dimerisation and Hsp90 chaperone binding stabilise the active enzyme, whereas Hsp90 inhibition lowers LIMK2 levels (Chatterjee et al., 2022; Manetti, 2012).</w:t>
      </w:r>
      <w:r>
        <w:br/>
      </w:r>
      <w:r>
        <w:t xml:space="preserve">• Phosphatases PP1 and PP2A counteract activation by de-phosphorylating LIMK2 and/or its substrates (Brion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Principal role is regulation of actin dynamics: Ser3 phosphorylation of cofilin stabilises filamentous actin, influencing cell morphology, adhesion and migration (Brion et al., 2021; Chatterjee et al., 2022). LIMK2 also modulates microtubule organisation through TPPP phosphorylation to steer spindle orientation during mitosis (Podkowa, 2010). Operating downstream of Rho-family GTPases, the kinase integrates extracellular cues that drive migration, proliferation and differentiation, and its hyper-activation is connected to tumour invasion and metastasis (Rak et al., 2014; Ribba et al., 2022; Shah &amp; Cook, 2023). LIMK2 further suppresses ciliogenesis by phosphorylating CFL1 and promoting nuclear YAP1 accumulation. Expression is ubiquitous and broader than LIMK1, encompassing neuronal, muscle and epithelial tissues (Villalonga et al., 2023; Shah &amp; Cook,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small-molecule inhibitors have been described. T56-LIMKi and several type I–III chemical probes potently and preferentially inhibit LIMK2, decrease cofilin phosphorylation and impair tumour cell migration or proliferation (Rak et al., 2014; Hanke et al., 2022; Berabez et al., 2022; Manetti,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LIMK2 activity is linked to diverse cancers, chemoresistance, ciliopathies and developmental defects, yet disease-causing point mutations remain uncommon (Brion et al., 2021; Shah &amp; Cook,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Berabez, R., Routier, S., Bénédetti, H., Plé, K., &amp; Vallée, B. (2022). LIM kinases, promising but reluctant therapeutic targets: Chemistry and preclinical validation in vivo. Cells, 11, 2090. https://doi.org/10.3390/cells11132090</w:t>
      </w:r>
    </w:p>
    <w:p>
      <w:pPr>
        <w:pStyle w:val="BodyText"/>
      </w:pPr>
      <w:r>
        <w:t xml:space="preserve">Brion, R., Regnier, L., Mullard, M., Amiaud, J., Rédini, F., &amp; Verrecchia, F. (2021). LIM kinases in osteosarcoma development. Cells, 10, 3542. https://doi.org/10.3390/cells10123542</w:t>
      </w:r>
    </w:p>
    <w:p>
      <w:pPr>
        <w:pStyle w:val="BodyText"/>
      </w:pPr>
      <w:r>
        <w:t xml:space="preserve">Casanova-Sepúlveda, G., Sexton, J. A., Turk, B. E., &amp; Boggon, T. J. (2023). Autoregulation of the LIM kinases by their PDZ domain. Nature Communications. https://doi.org/10.1038/s41467-023-44148-4</w:t>
      </w:r>
    </w:p>
    <w:p>
      <w:pPr>
        <w:pStyle w:val="BodyText"/>
      </w:pPr>
      <w:r>
        <w:t xml:space="preserve">Chatterjee, D., Preuss, F., Dederer, V., Knapp, S., &amp; Mathea, S. (2022). Structural aspects of LIMK regulation and pharmacology. Cells, 11, 142. https://doi.org/10.3390/cells11010142</w:t>
      </w:r>
    </w:p>
    <w:p>
      <w:pPr>
        <w:pStyle w:val="BodyText"/>
      </w:pPr>
      <w:r>
        <w:t xml:space="preserve">Goyal, P. (2005). Dual function of LIMK2 in endothelial cells. [Journal information unavailable].</w:t>
      </w:r>
    </w:p>
    <w:p>
      <w:pPr>
        <w:pStyle w:val="BodyText"/>
      </w:pPr>
      <w:r>
        <w:t xml:space="preserve">Hanke, T., Mathea, S., Woortman, J., Salah, E., Berger, B.-T., Tumber, A., … Knapp, S. (2022). Development and characterization of type I, type II, and type III LIM-kinase chemical probes. Journal of Medicinal Chemistry, 65, 13264–13287. https://doi.org/10.1021/acs.jmedchem.2c01106</w:t>
      </w:r>
    </w:p>
    <w:p>
      <w:pPr>
        <w:pStyle w:val="BodyText"/>
      </w:pPr>
      <w:r>
        <w:t xml:space="preserve">Manetti, F. (2012). LIM kinases are attractive targets with many macromolecular partners and only a few small molecule regulators. Medicinal Research Reviews. https://doi.org/10.1002/med.20230</w:t>
      </w:r>
    </w:p>
    <w:p>
      <w:pPr>
        <w:pStyle w:val="BodyText"/>
      </w:pPr>
      <w:r>
        <w:t xml:space="preserve">Podkowa, M. (2010). Characterization of BMP signalling pathways mediated by the BMP type II receptor, BMPRII, regulating neuronal morphogenesis. [Source unavailable].</w:t>
      </w:r>
    </w:p>
    <w:p>
      <w:pPr>
        <w:pStyle w:val="BodyText"/>
      </w:pPr>
      <w:r>
        <w:t xml:space="preserve">Rak, R., Haklai, R., Elad-Tzfadia, G., Wolfson, H. J., Carmeli, S., &amp; Kloog, Y. (2014). Novel LIMK2 inhibitor blocks Panc-1 tumour growth in a mouse xenograft model. Oncoscience, 1, 39–48. https://doi.org/10.18632/oncoscience.7</w:t>
      </w:r>
    </w:p>
    <w:p>
      <w:pPr>
        <w:pStyle w:val="BodyText"/>
      </w:pPr>
      <w:r>
        <w:t xml:space="preserve">Ribba, A.-S., Fraboulet, S., Sadoul, K., &amp; Lafanechère, L. (2022). The role of LIM kinases during development: A lens to get a glimpse of their implication in pathologies. Cells, 11, 403. https://doi.org/10.3390/cells11030403</w:t>
      </w:r>
    </w:p>
    <w:p>
      <w:pPr>
        <w:pStyle w:val="BodyText"/>
      </w:pPr>
      <w:r>
        <w:t xml:space="preserve">Scott, R. W. (2010). LIM kinase regulation of cell motility and invasion. [Journal information unavailable].</w:t>
      </w:r>
    </w:p>
    <w:p>
      <w:pPr>
        <w:pStyle w:val="BodyText"/>
      </w:pPr>
      <w:r>
        <w:t xml:space="preserve">Shah, K., &amp; Cook, M. (2023). LIMK2: A multifaceted kinase with pleiotropic roles in human physiology and pathologies. Cancer Letters, 565, 216207. https://doi.org/10.1016/j.canlet.2023.216207</w:t>
      </w:r>
    </w:p>
    <w:p>
      <w:pPr>
        <w:pStyle w:val="BodyText"/>
      </w:pPr>
      <w:r>
        <w:t xml:space="preserve">Sooreshjani, M. A. (2021). Identifying the versatile roles of NKX3.1 phosphorylation to explore new castration-resistant prostate cancer therapy. https://doi.org/10.25394/pgs.14519691.v1</w:t>
      </w:r>
    </w:p>
    <w:p>
      <w:pPr>
        <w:pStyle w:val="BodyText"/>
      </w:pPr>
      <w:r>
        <w:t xml:space="preserve">Villalonga, E., Mosrin, C., Normand, T., Girardin, C., Serrano, A., Žunar, B., … Vallée, B. (2023). LIM kinases, LIMK1 and LIMK2, are crucial node actors of cell fate: Molecular to pathological features. Cells, 12, 805. https://doi.org/10.3390/cells12050805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2025-06-25T17:53:43Z</dcterms:created>
  <dcterms:modified xsi:type="dcterms:W3CDTF">2025-06-25T17:53:43Z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