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Phylogeny</w:t>
      </w:r>
      <w:r>
        <w:br/>
      </w:r>
      <w:r>
        <w:t xml:space="preserve">TRPM6 is a member of the transient receptor potential melastatin (TRPM) family that is broadly conserved in vertebrates (Fleig &amp; Penner, 2004). It clusters most closely with its paralogue TRPM7, sharing high sequence identity in the six-transmembrane core and the C-terminal α-kinase region (Samanta, Hughes, &amp; Moiseenkova-Bell, 2018). Comparative analyses indicate both channel-kinases arose from an early gene-duplication event and have retained conserved TRP boxes and coiled-coil assembly motifs (Runnels, 2011).</w:t>
      </w:r>
    </w:p>
    <w:p>
      <w:pPr>
        <w:pStyle w:val="BodyText"/>
      </w:pPr>
      <w:r>
        <w:t xml:space="preserve">Reaction Catalyzed</w:t>
      </w:r>
      <w:r>
        <w:br/>
      </w:r>
      <w:r>
        <w:t xml:space="preserve">ATP + [protein]-(Ser/Thr) ⇌ ADP + H⁺ + [protein]-(Ser/Thr-phosphate) (Ryazanova et al., 2004).</w:t>
      </w:r>
    </w:p>
    <w:p>
      <w:pPr>
        <w:pStyle w:val="BodyText"/>
      </w:pPr>
      <w:r>
        <w:t xml:space="preserve">Cofactor Requirements</w:t>
      </w:r>
      <w:r>
        <w:br/>
      </w:r>
      <w:r>
        <w:t xml:space="preserve">Mg²⁺ is essential; Mn²⁺ can substitute with reduced efficiency (Ryazanova et al., 2004).</w:t>
      </w:r>
    </w:p>
    <w:p>
      <w:pPr>
        <w:pStyle w:val="BodyText"/>
      </w:pPr>
      <w:r>
        <w:t xml:space="preserve">Substrate Specificity</w:t>
      </w:r>
      <w:r>
        <w:br/>
      </w:r>
      <w:r>
        <w:t xml:space="preserve">The C-terminal α-kinase is an atypical Ser/Thr kinase that preferentially targets residues embedded in α-helical regions. A strict consensus motif has not yet been defined, but, by analogy with TRPM7, substrates involved in cytoskeletal regulation and intracellular signalling are recognised (Harteneck, 2005; Runnels, 2011).</w:t>
      </w:r>
    </w:p>
    <w:p>
      <w:pPr>
        <w:pStyle w:val="BodyText"/>
      </w:pPr>
      <w:r>
        <w:t xml:space="preserve">Structure</w:t>
      </w:r>
      <w:r>
        <w:br/>
      </w:r>
      <w:r>
        <w:t xml:space="preserve">TRPM6 is a bifunctional, single-chain protein comprising a large cytosolic N-terminus, six transmembrane segments (S1–S6) with a pore loop between S5 and S6, and a C-terminal module that contains coiled-coil domains followed by an atypical α-kinase fold (Fleig &amp; Penner, 2004). The transmembrane core resembles voltage-gated cation channels, with S4 acting as a putative voltage sensor, while the kinase domain bears a distinct α-kinase architecture with catalytic, zinc-binding and regulatory elements (Nilius &amp; Flockerzi, 2014). Channel and kinase domains are covalently linked, permitting coordinated ion permeation and phosphorylation (Runnels, 2011).</w:t>
      </w:r>
    </w:p>
    <w:p>
      <w:pPr>
        <w:pStyle w:val="BodyText"/>
      </w:pPr>
      <w:r>
        <w:t xml:space="preserve">Regulation</w:t>
      </w:r>
      <w:r>
        <w:br/>
      </w:r>
      <w:r>
        <w:t xml:space="preserve">• Channel gating is negatively regulated by intracellular Mg²⁺ and Mg·ATP (Fleig &amp; Penner, 2004).</w:t>
      </w:r>
      <w:r>
        <w:br/>
      </w:r>
      <w:r>
        <w:t xml:space="preserve">• Epidermal growth factor signalling up-regulates expression and plasma-membrane trafficking (Jimenez et al., 2020).</w:t>
      </w:r>
      <w:r>
        <w:br/>
      </w:r>
      <w:r>
        <w:t xml:space="preserve">• Autophosphorylation of the kinase domain and binding of RACK1 or REA provide additional control (Runnels, 2011).</w:t>
      </w:r>
      <w:r>
        <w:br/>
      </w:r>
      <w:r>
        <w:t xml:space="preserve">• Depletion of phosphatidylinositol-4,5-bisphosphate through PLC activation inhibits channel activity, linking receptor signalling to Mg²⁺ transport (Fleig &amp; Penner, 2004).</w:t>
      </w:r>
    </w:p>
    <w:p>
      <w:pPr>
        <w:pStyle w:val="BodyText"/>
      </w:pPr>
      <w:r>
        <w:t xml:space="preserve">Function</w:t>
      </w:r>
      <w:r>
        <w:br/>
      </w:r>
      <w:r>
        <w:t xml:space="preserve">TRPM6 is essential for systemic Mg²⁺ homeostasis. It is highly expressed in intestinal epithelium and in the distal convoluted tubule of the kidney, where it mediates active Mg²⁺ uptake and reabsorption (Fleig &amp; Penner, 2004; Harteneck, 2005). Its dual channel/kinase activities coordinate Mg²⁺ influx with downstream signalling pathways required for metabolic regulation (Jimenez et al., 2020). Loss-of-function mutations cause familial hypomagnesemia with secondary hypocalcaemia (Nilius, Owsianik, Voets, &amp; Peters, 2007).</w:t>
      </w:r>
    </w:p>
    <w:p>
      <w:pPr>
        <w:pStyle w:val="BodyText"/>
      </w:pPr>
      <w:r>
        <w:t xml:space="preserve">Inhibitors</w:t>
      </w:r>
      <w:r>
        <w:br/>
      </w:r>
      <w:r>
        <w:t xml:space="preserve">Ruthenium red and rottlerin reduce TRPM6 activity, but selective pharmacological tools remain limited (Runnels, 2011; Fleig &amp; Penner, 2004).</w:t>
      </w:r>
    </w:p>
    <w:p>
      <w:pPr>
        <w:pStyle w:val="BodyText"/>
      </w:pPr>
      <w:r>
        <w:t xml:space="preserve">Other Comments</w:t>
      </w:r>
      <w:r>
        <w:br/>
      </w:r>
      <w:r>
        <w:t xml:space="preserve">TRPM6 can assemble as homomers or as heteromeric complexes with TRPM7; the latter appear more efficiently trafficked to the plasma membrane (Nilius &amp; Flockerzi, 2014). Disease-linked mutations may impair either the ion-channel pore or the kinase active site, underscoring the importance of both functional modules (Runnels, 2011; Nilius et al., 2007). A definitive substrate consensus motif for the kinase has not yet been established (Harteneck, 2005).</w:t>
      </w:r>
    </w:p>
    <w:p>
      <w:pPr>
        <w:pStyle w:val="Compact"/>
        <w:numPr>
          <w:ilvl w:val="0"/>
          <w:numId w:val="1001"/>
        </w:numPr>
      </w:pPr>
      <w:r>
        <w:t xml:space="preserve">References</w:t>
      </w:r>
      <w:r>
        <w:br/>
      </w:r>
      <w:r>
        <w:t xml:space="preserve">Fleig, A., &amp; Penner, R. (2004). The TRPM ion channel subfamily: molecular, biophysical and functional features. Trends in Pharmacological Sciences, 25, 633-639. https://doi.org/10.1016/j.tips.2004.10.004</w:t>
      </w:r>
    </w:p>
    <w:p>
      <w:pPr>
        <w:pStyle w:val="FirstParagraph"/>
      </w:pPr>
      <w:r>
        <w:t xml:space="preserve">Harteneck, C. (2005). Function and pharmacology of TRPM cation channels. Naunyn-Schmiedeberg’s Archives of Pharmacology, 371, 307-314. https://doi.org/10.1007/s00210-005-1034-x</w:t>
      </w:r>
    </w:p>
    <w:p>
      <w:pPr>
        <w:pStyle w:val="BodyText"/>
      </w:pPr>
      <w:r>
        <w:t xml:space="preserve">Jimenez, I., Prado, Y., Marchant, F., Otero, C., Eltit, F., Cabello-Verrugio, C., … Simon, F. (2020). TRPM channels in human diseases. Cells, 9, 2604. https://doi.org/10.3390/cells9122604</w:t>
      </w:r>
    </w:p>
    <w:p>
      <w:pPr>
        <w:pStyle w:val="BodyText"/>
      </w:pPr>
      <w:r>
        <w:t xml:space="preserve">Nilius, B., &amp; Flockerzi, V. (2014). Mammalian transient receptor potential (TRP) cation channels. In Handbook of Experimental Pharmacology. https://doi.org/10.1007/978-3-642-54215-2</w:t>
      </w:r>
    </w:p>
    <w:p>
      <w:pPr>
        <w:pStyle w:val="BodyText"/>
      </w:pPr>
      <w:r>
        <w:t xml:space="preserve">Nilius, B., Owsianik, G., Voets, T., &amp; Peters, J. A. (2007). Transient receptor potential cation channels in disease. Physiological Reviews, 87, 165-217. https://doi.org/10.1152/physrev.00021.2006</w:t>
      </w:r>
    </w:p>
    <w:p>
      <w:pPr>
        <w:pStyle w:val="BodyText"/>
      </w:pPr>
      <w:r>
        <w:t xml:space="preserve">Runnels, L. W. (2011). TRPM6 and TRPM7: A mul-TRP-plik-cation of channel functions. Current Pharmaceutical Biotechnology, 12, 42-53. https://doi.org/10.2174/138920111793937880</w:t>
      </w:r>
    </w:p>
    <w:p>
      <w:pPr>
        <w:pStyle w:val="BodyText"/>
      </w:pPr>
      <w:r>
        <w:t xml:space="preserve">Ryazanova, L. V., Dorovkov, M. V., Ansari, A., &amp; Ryazanov, A. G. (2004). Characterization of the protein kinase activity of TRPM7/ChaK1, a protein kinase fused to the transient receptor potential ion channel. Journal of Biological Chemistry, 279, 3708-3716. https://doi.org/10.1074/jbc.M308820200</w:t>
      </w:r>
    </w:p>
    <w:p>
      <w:pPr>
        <w:pStyle w:val="BodyText"/>
      </w:pPr>
      <w:r>
        <w:t xml:space="preserve">Samanta, A., Hughes, T. E. T., &amp; Moiseenkova-Bell, V. Y. (2018). Transient receptor potential (TRP) channels. Subcellular Biochemistry, 87, 141-165. https://doi.org/10.1007/978-981-10-7757-9_6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2025-06-25T19:04:39Z</dcterms:created>
  <dcterms:modified xsi:type="dcterms:W3CDTF">2025-06-25T19:04:39Z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