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IRAK3 (also called IRAK-M) is a member of the interleukin-1 receptor-associated kinase family (IRAK-1, IRAK-2, IRAK-3, IRAK-4). It is conserved across vertebrates that possess sophisticated innate immune systems and shares the canonical IRAK domain architecture of an N-terminal death domain followed by a central (pseudo)kinase fold (Janssens &amp; Beyaert, 2003; Flannery &amp; Bowie, 2010). Unlike the catalytically competent IRAK-1 and IRAK-4, IRAK3 accumulated substitutions at key catalytic residues, evolving into a pseudokinase that functions primarily as a negative modulator of IL-1R/TLR signalling (Janssens &amp; Beyaert, 2003; Flannery &amp; Bowie,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 serine/threonine kinases normally mediate:</w:t>
      </w:r>
      <w:r>
        <w:br/>
      </w:r>
      <w:r>
        <w:t xml:space="preserve">ATP + [protein]-L-Ser/Thr ⇌ ADP + H⁺ + [protein]-O-phospho-L-Ser/Thr</w:t>
      </w:r>
    </w:p>
    <w:p>
      <w:pPr>
        <w:pStyle w:val="BodyText"/>
      </w:pPr>
      <w:r>
        <w:t xml:space="preserve">IRAK3 lacks the catalytic aspartate in the DFG motif and does not catalyse this reaction (Jain et al., 2014; Janssens &amp; Beyaert, 2003; Bahia et al.,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Active serine/threonine kinases require Mg²⁺ to coordinate ATP, yet no Mg²⁺-dependent catalytic activity has been demonstrated for IRAK3 (Flannery &amp; Bowie, 2010; Lange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Because IRAK3 is enzymatically inert, no consensus phosphorylation motif or substrate preference has been defined (Jain et al., 2014; Bahia et al., 2015).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IRAK3 comprises an N-terminal death domain that recruits the protein to MyD88-containing receptor complexes and a central pseudokinase domain that retains the bilobed kinase fold but adopts a “closed” pseudoactive conformation (Lange et al., 2021). The G-loop is rigidified by hydrophobic interactions around a conserved phenylalanine, and the ATP-binding pocket retains an invariant lysine (e.g., K192) but contains a DFA (not DFG) motif and altered catalytic loop residues that prevent phosphotransfer (Flannery &amp; Bowie, 2010). Crystal structures reveal head-to-head dimerisation mediated by αC-helix interactions, proposed to stabilise an autoinhibited state (Lange et al., 2021). Dimer formation may also be influenced by redox-regulated disulphide bridges (Horne &amp; Murphy,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IRAK3 negatively regulates IL-1R and Toll-like receptor signalling by preventing the dissociation and subsequent phosphorylation of IRAK-1 and IRAK-4 within the MyD88 complex, thereby dampening NF-κB activation (Flannery &amp; Bowie, 2010). It selectively blocks the alternative NF-κB pathway (Su et al., 2009) yet can promote expression of specific cytokine mRNAs (IL6, CSF3, CXCL2, CCL5) in IL-33-stimulated dendritic cells (Zhou et al., 2013). Regulation is driven largely by protein–protein interactions, dimerisation, and inducible expression rather than by phosphorylation or ubiquitination (Horne &amp; Murphy, 2021; Su et al., 2009). Expression is highest in monocytes, macrophages, and dendritic cells and is inducible during inflammatory responses (Mahmoud et al., 2023; Ringwood &amp; Li, 2008).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Predominantly expressed in myeloid lineage cells, IRAK3 limits excessive inflammatory signalling, contributes to endotoxin tolerance, and protects against pathological inflammation such as sepsis and chronic inflammatory disease (Flannery &amp; Bowie, 2010; Rhyasen &amp; Starczynowski, 2015; Ringwood &amp; Li, 2008). Context-dependent positive roles have been noted, e.g., enhanced cytokine transcription during IL-33-mediated lung inflammation (Tunalı et al., 2023). By fine-tuning TLR/IL-1R pathways, IRAK3 maintains immune homeostasis.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IRAK3 lacks catalytic activity; therefore, classical ATP-competitive kinase inhibitors are ineffective. Nonetheless, its scaffold function is being explored as an immune checkpoint target: genetic deletion or blockade in myeloid cells augments anti-tumour immunity (Tunalı et al., 2023). PROTACs or protein–protein interaction disruptors have been proposed, but no direct inhibitors are yet reported (Wiese et al., 2020; Tunalı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Polymorphisms in IRAK3 predict responsiveness to anti-TNF therapy in rheumatoid arthritis, highlighting clinical relevance (Wiese et al., 2020). Although not drugged directly, the protein’s regulatory role in cytokine storms (e.g., SARS-CoV-2 infection) makes it an attractive therapeutic target (Mahmoud et al.,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Bahia, M. S., Kaur, M., Silakari, P., &amp; Silakari, O. (2015). Interleukin-1 receptor associated kinase inhibitors: potential therapeutic agents for inflammatory- and immune-related disorders. Cellular Signalling, 27, 1039–1055. https://doi.org/10.1016/j.cellsig.2015.02.025</w:t>
      </w:r>
    </w:p>
    <w:p>
      <w:pPr>
        <w:pStyle w:val="BodyText"/>
      </w:pPr>
      <w:r>
        <w:t xml:space="preserve">Flannery, S., &amp; Bowie, A. G. (2010). The interleukin-1 receptor-associated kinases: critical regulators of innate immune signalling. Biochemical Pharmacology, 80, 1981–1991. https://doi.org/10.1016/j.bcp.2010.06.020</w:t>
      </w:r>
    </w:p>
    <w:p>
      <w:pPr>
        <w:pStyle w:val="BodyText"/>
      </w:pPr>
      <w:r>
        <w:t xml:space="preserve">Horne, C. R., &amp; Murphy, J. M. (2021). For whom the bell tolls: The structure of the dead kinase, IRAK3. Structure, 29, 197–199. https://doi.org/10.1016/j.str.2021.01.011</w:t>
      </w:r>
    </w:p>
    <w:p>
      <w:pPr>
        <w:pStyle w:val="BodyText"/>
      </w:pPr>
      <w:r>
        <w:t xml:space="preserve">Jain, A., Kaczanowska, S., &amp; Davila, E. (2014). IL-1 receptor-associated kinase signalling and its role in inflammation, cancer progression, and therapy resistance. Frontiers in Immunology. https://doi.org/10.3389/fimmu.2014.00553</w:t>
      </w:r>
    </w:p>
    <w:p>
      <w:pPr>
        <w:pStyle w:val="BodyText"/>
      </w:pPr>
      <w:r>
        <w:t xml:space="preserve">Janssens, S., &amp; Beyaert, R. (2003). Functional diversity and regulation of different interleukin-1 receptor-associated kinase (IRAK) family members. Molecular Cell, 11, 293–302. https://doi.org/10.1016/S1097-2765(03)00053-4</w:t>
      </w:r>
    </w:p>
    <w:p>
      <w:pPr>
        <w:pStyle w:val="BodyText"/>
      </w:pPr>
      <w:r>
        <w:t xml:space="preserve">Lange, S. M., Nelen, M. I., Cohen, P., &amp; Kulathu, Y. (2021). Dimeric structure of the pseudokinase IRAK3 suggests an allosteric mechanism for negative regulation. Structure, 29, 238–251.e4. https://doi.org/10.1016/j.str.2020.11.004</w:t>
      </w:r>
    </w:p>
    <w:p>
      <w:pPr>
        <w:pStyle w:val="BodyText"/>
      </w:pPr>
      <w:r>
        <w:t xml:space="preserve">Li, H., Cuartas, E., Cui, W., et al. (2005). IL-1 receptor–associated kinase M is a central regulator of osteoclast differentiation and activation. The Journal of Experimental Medicine, 201, 1169–1177. https://doi.org/10.1084/jem.20041444</w:t>
      </w:r>
    </w:p>
    <w:p>
      <w:pPr>
        <w:pStyle w:val="BodyText"/>
      </w:pPr>
      <w:r>
        <w:t xml:space="preserve">Mahmoud, I. S., Jarrar, Y. B., &amp; Febrimarsa. (2023). Modulation of IRAK enzymes as a therapeutic strategy against SARS-CoV-2-induced cytokine storm. Clinical and Experimental Medicine, 23, 2909–2923. https://doi.org/10.1007/s10238-023-01064-7</w:t>
      </w:r>
    </w:p>
    <w:p>
      <w:pPr>
        <w:pStyle w:val="BodyText"/>
      </w:pPr>
      <w:r>
        <w:t xml:space="preserve">Ringwood, L., &amp; Li, L. (2008). The involvement of the interleukin-1 receptor-associated kinases (IRAKs) in cellular signalling networks controlling inflammation. Cytokine, 42, 1–7. https://doi.org/10.1016/j.cyto.2007.12.012</w:t>
      </w:r>
    </w:p>
    <w:p>
      <w:pPr>
        <w:pStyle w:val="BodyText"/>
      </w:pPr>
      <w:r>
        <w:t xml:space="preserve">Rhyasen, G. W., &amp; Starczynowski, D. (2015). IRAK signalling in cancer. British Journal of Cancer, 112, 232–237. https://doi.org/10.1038/bjc.2014.513</w:t>
      </w:r>
    </w:p>
    <w:p>
      <w:pPr>
        <w:pStyle w:val="BodyText"/>
      </w:pPr>
      <w:r>
        <w:t xml:space="preserve">Su, J., Zhang, T., Tyson, J., &amp; Li, L. (2009). The interleukin-1 receptor-associated kinase M selectively inhibits the alternative, instead of the classical NF-κB pathway. Journal of Innate Immunity, 1, 164–174. https://doi.org/10.1159/000158541</w:t>
      </w:r>
    </w:p>
    <w:p>
      <w:pPr>
        <w:pStyle w:val="BodyText"/>
      </w:pPr>
      <w:r>
        <w:t xml:space="preserve">Tunalı, G., Rúbies Bedós, M., Nagarajan, D., et al. (2023). IL-1 receptor–associated kinase-3 acts as an immune checkpoint in myeloid cells to limit cancer immunotherapy. Journal of Clinical Investigation. https://doi.org/10.1172/JCI161084</w:t>
      </w:r>
    </w:p>
    <w:p>
      <w:pPr>
        <w:pStyle w:val="BodyText"/>
      </w:pPr>
      <w:r>
        <w:t xml:space="preserve">Wiese, M. D., Manning-Bennett, A. T., &amp; Abuhelwa, A. Y. (2020). Investigational IRAK-4 inhibitors for the treatment of rheumatoid arthritis. Expert Opinion on Investigational Drugs, 29, 475–482. https://doi.org/10.1080/13543784.2020.1752660</w:t>
      </w:r>
    </w:p>
    <w:p>
      <w:pPr>
        <w:pStyle w:val="BodyText"/>
      </w:pPr>
      <w:r>
        <w:t xml:space="preserve">Zhou, H., Yu, M., Fukuda, K., et al. (2013). IRAK-M mediates Toll-like receptor/IL-1R-induced NF-κB activation and cytokine production. The EMBO Journal. https://doi.org/10.1038/emboj.2013.2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2025-06-25T18:45:57Z</dcterms:created>
  <dcterms:modified xsi:type="dcterms:W3CDTF">2025-06-25T18:45:57Z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