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JAK3 is one of four Janus kinases (JAK1, JAK2, JAK3, TYK2) within the non-receptor tyrosine kinase branch. Orthologues occur throughout vertebrates and the enzyme is particularly conserved in hematopoietic lineages of mammals, reflecting its specialized immune function (O’Shea, 2009; Rane &amp; Reddy, 2000). Catalytic regions are highly conserved across the family, whereas regulatory domains have diverged to support lineage-specific roles (Notarangelo et al., 2001; O’Shea, 2009).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[protein]-tyrosine ⇌ ADP + H⁺ + [protein]-phosphotyrosine (Casimiro-Garcia et al., 2018).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nucleotide binding and phosphoryl transfer (O’Shea, 2009; Ungureanu, 2005).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JAK3 phosphorylates tyrosine residues on the cytoplasmic tails of type I cytokine receptors that contain the common γ-chain, notably IL-2Rβ and IL-2Rγ. These phosphotyrosines recruit and are subsequently phosphorylated STAT transcription factors. Specific recognition is mediated by structural features in the kinase domain that engage the receptor motif (Casimiro-Garcia et al., 2018; O’Shea, 2009; Forster et al., 2016).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seven Janus homology (JH) segments:</w:t>
      </w:r>
      <w:r>
        <w:br/>
      </w:r>
      <w:r>
        <w:t xml:space="preserve">• FERM domain (JH5-JH7) – binds receptor intracellular regions.</w:t>
      </w:r>
      <w:r>
        <w:br/>
      </w:r>
      <w:r>
        <w:t xml:space="preserve">• SH2-like domain (JH3-JH4) – contributes to receptor interaction.</w:t>
      </w:r>
      <w:r>
        <w:br/>
      </w:r>
      <w:r>
        <w:t xml:space="preserve">• Pseudokinase domain (JH2) – catalytically inactive, modulates JH1.</w:t>
      </w:r>
      <w:r>
        <w:br/>
      </w:r>
      <w:r>
        <w:t xml:space="preserve">• Kinase domain (JH1) – canonical bilobed fold; activation loop contains Y980/Y981 whose phosphorylation activates the enzyme. Conserved DFG and gatekeeper motifs are present. A unique Cys909 in the ATP pocket provides a handle for covalent inhibitors (Casimiro-Garcia et al., 2018; Forster et al., 2017; Wilks, 2008; Vihinen et al., 2000).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requires autophosphorylation of Y980/Y981, while the JH2 pseudokinase exerts basal inhibition (Smith et al., 2016; Vihinen et al., 2000). Negative regulators include SOCS proteins, which recruit ubiquitin machinery, and the tyrosine phosphatases SHP-1 and CD45 that dephosphorylate active JAK3 (Rane &amp; Reddy, 2000; O’Shea, 2009).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Upon cytokine binding, γ-chain–containing receptors dimerize, juxtaposing JAK3 (often paired with JAK1) and enabling receptor phosphorylation. The resulting STAT docking and phosphorylation cascade drives transcriptional programs essential for T-cell and natural killer cell development, proliferation, and differentiation. JAK3 expression is largely restricted to hematopoietic cells, underpinning its pivotal role in adaptive and innate immunity (Casimiro-Garcia et al., 2018; Notarangelo et al., 2001; Ndiaye et al., 2016; O’Shea, 2009).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Selective inhibition exploits Cys909:</w:t>
      </w:r>
      <w:r>
        <w:br/>
      </w:r>
      <w:r>
        <w:t xml:space="preserve">• Tofacitinib (CP-690,550) – first-generation inhibitor.</w:t>
      </w:r>
      <w:r>
        <w:br/>
      </w:r>
      <w:r>
        <w:t xml:space="preserve">• Cyanamide-based, covalent inhibitors (Casimiro-Garcia et al., 2018).</w:t>
      </w:r>
      <w:r>
        <w:br/>
      </w:r>
      <w:r>
        <w:t xml:space="preserve">• Covalent-reversible chemotypes targeting an induced-fit pocket (Forster et al., 2016).</w:t>
      </w:r>
      <w:r>
        <w:br/>
      </w:r>
      <w:r>
        <w:t xml:space="preserve">• Orally available irreversible agents with high isoform selectivity (Shi et al., 2019).</w:t>
      </w:r>
      <w:r>
        <w:br/>
      </w:r>
      <w:r>
        <w:t xml:space="preserve">These compounds serve as probes of JAK3 function and as therapeutics for autoimmune disease and transplant rejection (Forster et al., 2017; Wilks, 2008).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mutations in JAK3, particularly within the kinase or FERM domains, cause autosomal-recessive severe combined immunodeficiency (SCID) (Notarangelo et al., 2001).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Casimiro-Garcia, A., Trujillo, J. I., Vajdos, F., Juba, B., Banker, M. E., Aulabaugh, A., … Thorarensen, A. (2018). Identification of cyanamide-based Janus kinase 3 (JAK3) covalent inhibitors. Journal of Medicinal Chemistry, 61, 10665–10699. https://doi.org/10.1021/acs.jmedchem.8b01308</w:t>
      </w:r>
    </w:p>
    <w:p>
      <w:pPr>
        <w:pStyle w:val="BodyText"/>
      </w:pPr>
      <w:r>
        <w:t xml:space="preserve">Forster, M., Chaikuad, A., Bauer, S. M., Holstein, J., Robers, M. B., Corona, C. R., … Laufer, S. A. (2016). Selective JAK3 inhibitors with a covalent reversible binding mode targeting a new induced fit binding pocket. Cell Chemical Biology, 23, 1335–1340. https://doi.org/10.1016/j.chembiol.2016.10.008</w:t>
      </w:r>
    </w:p>
    <w:p>
      <w:pPr>
        <w:pStyle w:val="BodyText"/>
      </w:pPr>
      <w:r>
        <w:t xml:space="preserve">Forster, M., Gehringer, M., &amp; Laufer, S. A. (2017). Recent advances in JAK3 inhibition: Isoform selectivity by covalent cysteine targeting. Bioorganic &amp; Medicinal Chemistry Letters, 27, 4229–4237. https://doi.org/10.1016/j.bmcl.2017.07.079</w:t>
      </w:r>
    </w:p>
    <w:p>
      <w:pPr>
        <w:pStyle w:val="BodyText"/>
      </w:pPr>
      <w:r>
        <w:t xml:space="preserve">Notarangelo, L. D., Mella, P., Jones, A., de Saint Basile, G., Savoldi, G., Cranston, T., … Schumacher, R. F. (2001). Mutations in severe combined immune deficiency (SCID) due to JAK3 deficiency. Human Mutation, 18, 255–263. https://doi.org/10.1002/humu.1188</w:t>
      </w:r>
    </w:p>
    <w:p>
      <w:pPr>
        <w:pStyle w:val="BodyText"/>
      </w:pPr>
      <w:r>
        <w:t xml:space="preserve">O’Shea, J. J. (2009). Janus kinases in immune cell signaling. https://doi.org/10.1111/j.1600-065x.2008.00754</w:t>
      </w:r>
    </w:p>
    <w:p>
      <w:pPr>
        <w:pStyle w:val="BodyText"/>
      </w:pPr>
      <w:r>
        <w:t xml:space="preserve">Rane, S. G., &amp; Reddy, E. P. (2000). Janus kinases: Components of multiple signaling pathways. Oncogene, 19, 5662–5679. https://doi.org/10.1038/sj.onc.1203925</w:t>
      </w:r>
    </w:p>
    <w:p>
      <w:pPr>
        <w:pStyle w:val="BodyText"/>
      </w:pPr>
      <w:r>
        <w:t xml:space="preserve">Smith, G. A., Uchida, K., Weiss, A., &amp; Taunton, J. (2016). Essential biphasic role for JAK3 catalytic activity in IL-2 receptor signaling. Nature Chemical Biology, 12, 373–379. https://doi.org/10.1038/nchembio.2056</w:t>
      </w:r>
    </w:p>
    <w:p>
      <w:pPr>
        <w:pStyle w:val="BodyText"/>
      </w:pPr>
      <w:r>
        <w:t xml:space="preserve">Ungureanu, D. (2005). Post-translational modifications in regulation of JAK-STAT pathway.</w:t>
      </w:r>
    </w:p>
    <w:p>
      <w:pPr>
        <w:pStyle w:val="BodyText"/>
      </w:pPr>
      <w:r>
        <w:t xml:space="preserve">Vihinen, M., Villa, A., Mella, P., Schumacher, R. F., Savoldi, G., O’Shea, J. J., … Notarangelo, L. D. (2000). Molecular modeling of the JAK3 kinase domains and structural basis for severe combined immunodeficiency. Clinical Immunology, 96, 108–118. https://doi.org/10.1006/clim.2000.4880</w:t>
      </w:r>
    </w:p>
    <w:p>
      <w:pPr>
        <w:pStyle w:val="BodyText"/>
      </w:pPr>
      <w:r>
        <w:t xml:space="preserve">Wilks, A. F. (2008). The JAK kinases: Not just another kinase drug discovery target. Seminars in Cell &amp; Developmental Biology, 19, 319–328. https://doi.org/10.1016/j.semcdb.2008.07.020</w:t>
      </w:r>
    </w:p>
    <w:p>
      <w:pPr>
        <w:pStyle w:val="BodyText"/>
      </w:pPr>
      <w:r>
        <w:t xml:space="preserve">Ndiaye, K., Castonguay, A., Benoit, G., Silversides, D. W., &amp; Lussier, J. G. (2016). Differential regulation of Janus kinase 3 (JAK3) in bovine pre-ovulatory follicles and identification of JAK3 interacting proteins in granulosa cells. Journal of Ovarian Research. https://doi.org/10.1186/s13048-016-0280-5</w:t>
      </w:r>
    </w:p>
    <w:p>
      <w:pPr>
        <w:pStyle w:val="BodyText"/>
      </w:pPr>
      <w:r>
        <w:t xml:space="preserve">Shi, L., Zhong, Z., Li, X., Zhou, Y., &amp; Pan, Z. (2019). Discovery of an orally available Janus kinase 3 selective covalent inhibitor. Journal of Medicinal Chemistry, 62, 1054–1066. https://doi.org/10.1021/acs.jmedchem.8b01823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2025-06-25T18:39:10Z</dcterms:created>
  <dcterms:modified xsi:type="dcterms:W3CDTF">2025-06-25T18:39:10Z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