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Receptor-interacting protein kinase 1 (RIPK1) is a conserved serine/threonine kinase present in all examined mammals and with orthologues in vertebrates and lower eukaryotes. It clusters with RIPK2, RIPK3 and RIPK4 within the RIP kinase family, reflecting a shared catalytic domain coupled to distinct interaction modules (Dara, 2018; Della Torre et al., 2021; Annibaldi &amp; Meier, 2018).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⇌ ADP + O-phospho-L-seryl/threonyl-[protein] + H⁺ (Xie et al., 2013).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required for ATP binding and kinase activity (Mifflin et al., 2020).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Verified substrates include RIPK1 itself (autophosphorylation), RIPK3 during necroptosis, and DAB2IP at Ser-728 in a TNF-α-dependent manner. Overall, RIPK1 phosphorylates serine/threonine residues within proteins that mediate cell-death and inflammatory signalling (Annibaldi &amp; Meier, 2018; Chen et al., 2022; Li &amp; Yuan, 2023).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671-amino-acid protein composed of:</w:t>
      </w:r>
      <w:r>
        <w:br/>
      </w:r>
      <w:r>
        <w:t xml:space="preserve">– N-terminal kinase domain with catalytic Lys45; adopts an inactive DLG-out conformation when bound by necrostatins (Xie et al., 2013; Chen et al., 2022).</w:t>
      </w:r>
      <w:r>
        <w:br/>
      </w:r>
      <w:r>
        <w:t xml:space="preserve">– Central intermediate domain containing a RIP homotypic interaction motif (RHIM) and a key ubiquitination site, Lys377 (Annibaldi &amp; Meier, 2018; Dara, 2018).</w:t>
      </w:r>
      <w:r>
        <w:br/>
      </w:r>
      <w:r>
        <w:t xml:space="preserve">– C-terminal death domain that interacts with FADD, TRADD and TNFR1 (Dara, 2018; Della Torre et al., 2021).</w:t>
      </w:r>
      <w:r>
        <w:br/>
      </w:r>
      <w:r>
        <w:t xml:space="preserve">This modular organisation supports both catalytic and scaffolding roles (Chen et al., 2022).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Ubiquitination: cIAP1/2 and LUBAC attach K63-linked or linear (M1) chains, retaining RIPK1 in TNFR1 complex-I; CYLD, A20 and Cezanne remove these chains to enable death-complex formation (Annibaldi &amp; Meier, 2018; Witt &amp; Vucic, 2017; Ju et al., 2022).</w:t>
      </w:r>
      <w:r>
        <w:br/>
      </w:r>
      <w:r>
        <w:t xml:space="preserve">• Phosphorylation: IKK1/2, MK2, TAK1 and TBK1 phosphorylate Ser166, Ser161 and sites near S320/S335 (mouse S321/S336), suppressing kinase activity (Annibaldi &amp; Meier, 2018; Ju et al., 2022).</w:t>
      </w:r>
      <w:r>
        <w:br/>
      </w:r>
      <w:r>
        <w:t xml:space="preserve">• Proteolysis: Caspase-8 cleaves RIPK1 at Asp324, limiting necroptosis (Dara, 2018; Mifflin et al., 2020).</w:t>
      </w:r>
      <w:r>
        <w:br/>
      </w:r>
      <w:r>
        <w:t xml:space="preserve">These modifications create an early TNF-induced cell-death checkpoint (Annibaldi &amp; Meier, 2018).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As a scaffold, RIPK1 promotes NF-κB activation and expression of anti-apoptotic and inflammatory genes (e.g., cFLIP, Bcl-2, IL-6). Upon de-ubiquitination and kinase activation it forms:</w:t>
      </w:r>
      <w:r>
        <w:br/>
      </w:r>
      <w:r>
        <w:t xml:space="preserve">• Complex-IIa with FADD, caspase-8 and cFLIP to drive apoptosis, or</w:t>
      </w:r>
      <w:r>
        <w:br/>
      </w:r>
      <w:r>
        <w:t xml:space="preserve">• The necrosome/complex-IIb with RIPK3 and MLKL to trigger necroptosis.</w:t>
      </w:r>
      <w:r>
        <w:br/>
      </w:r>
      <w:r>
        <w:t xml:space="preserve">RIPK1 additionally phosphorylates DAB2IP to initiate the MAP3K5–JNK apoptotic cascade. These activities regulate embryogenesis, tissue homeostasis and responses to infection, DNA damage and other stresses (Annibaldi &amp; Meier, 2018; Feoktistova &amp; Leverkus, 2015; Mifflin et al., 2020).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Potent small-molecule inhibitors such as Necrostatin-1 and GSK2982772 are in clinical investigation for inflammatory disorders (Annibaldi &amp; Meier, 2018; Martens et al., 2020).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Dysregulated RIPK1 signalling is implicated in cancer, autoimmune and neurodegenerative diseases, and ischemia-reperfusion injury. The balance between ubiquitination and phosphorylation dictates whether cells undergo NF-κB-mediated survival or apoptosis/necroptosis, making RIPK1 an attractive therapeutic target (Ju et al., 2022; Li &amp; Yuan, 2023).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Annibaldi, A., &amp; Meier, P. (2018). Checkpoints in TNF-induced cell death: Implications in inflammation and cancer. Trends in Molecular Medicine, 24, 49–65. https://doi.org/10.1016/j.molmed.2017.11.002</w:t>
      </w:r>
    </w:p>
    <w:p>
      <w:pPr>
        <w:pStyle w:val="BodyText"/>
      </w:pPr>
      <w:r>
        <w:t xml:space="preserve">Chen, L., Zhang, X., Ou, Y., Liu, M., Yu, D., Song, Z., … Shi, J. (2022). Advances in RIPK1 kinase inhibitors. Frontiers in Pharmacology. https://doi.org/10.3389/fphar.2022.976435</w:t>
      </w:r>
    </w:p>
    <w:p>
      <w:pPr>
        <w:pStyle w:val="BodyText"/>
      </w:pPr>
      <w:r>
        <w:t xml:space="preserve">Dara, L. (2018). The receptor interacting protein kinases in the liver. Seminars in Liver Disease, 38, 73–86. https://doi.org/10.1055/s-0038-1629924</w:t>
      </w:r>
    </w:p>
    <w:p>
      <w:pPr>
        <w:pStyle w:val="BodyText"/>
      </w:pPr>
      <w:r>
        <w:t xml:space="preserve">Della Torre, L., Nebbioso, A., Stunnenberg, H. G., Martens, J. H. A., Carafa, V., &amp; Altucci, L. (2021). The role of necroptosis: Biological relevance and its involvement in cancer. Cancers, 13, 684. https://doi.org/10.3390/cancers13040684</w:t>
      </w:r>
    </w:p>
    <w:p>
      <w:pPr>
        <w:pStyle w:val="BodyText"/>
      </w:pPr>
      <w:r>
        <w:t xml:space="preserve">Feoktistova, M., &amp; Leverkus, M. (2015). Programmed necrosis and necroptosis signalling. The FEBS Journal. https://doi.org/10.1111/febs.13120</w:t>
      </w:r>
    </w:p>
    <w:p>
      <w:pPr>
        <w:pStyle w:val="BodyText"/>
      </w:pPr>
      <w:r>
        <w:t xml:space="preserve">Ju, E., Park, K. A., Shen, H.-M., &amp; Hur, G. M. (2022). The resurrection of RIP kinase 1 as an early cell death checkpoint regulator—A potential target for therapy in the necroptosis era. Experimental &amp; Molecular Medicine, 54, 1401–1411. https://doi.org/10.1038/s12276-022-00847-4</w:t>
      </w:r>
    </w:p>
    <w:p>
      <w:pPr>
        <w:pStyle w:val="BodyText"/>
      </w:pPr>
      <w:r>
        <w:t xml:space="preserve">Li, W., &amp; Yuan, J. (2023). Targeting RIPK1 kinase for modulating inflammation in human diseases. Frontiers in Immunology. https://doi.org/10.3389/fimmu.2023.1159743</w:t>
      </w:r>
    </w:p>
    <w:p>
      <w:pPr>
        <w:pStyle w:val="BodyText"/>
      </w:pPr>
      <w:r>
        <w:t xml:space="preserve">Martens, S., Hofmans, S., Declercq, W., Augustyns, K., &amp; Vandenabeele, P. (2020). Inhibitors targeting RIPK1/RIPK3: Old and new drugs. Trends in Pharmacological Sciences, 41, 209–224. https://doi.org/10.1016/j.tips.2020.01.002</w:t>
      </w:r>
    </w:p>
    <w:p>
      <w:pPr>
        <w:pStyle w:val="BodyText"/>
      </w:pPr>
      <w:r>
        <w:t xml:space="preserve">Mifflin, L., Ofengeim, D., &amp; Yuan, J. (2020). Receptor-interacting protein kinase 1 (RIPK1) as a therapeutic target. Nature Reviews Drug Discovery, 19, 553–571. https://doi.org/10.1038/s41573-020-0071-y</w:t>
      </w:r>
    </w:p>
    <w:p>
      <w:pPr>
        <w:pStyle w:val="BodyText"/>
      </w:pPr>
      <w:r>
        <w:t xml:space="preserve">Witt, A., &amp; Vucic, D. (2017). Diverse ubiquitin linkages regulate RIP kinases-mediated inflammatory and cell death signaling. Cell Death &amp; Differentiation, 24, 1160–1171. https://doi.org/10.1038/cdd.2017.33</w:t>
      </w:r>
    </w:p>
    <w:p>
      <w:pPr>
        <w:pStyle w:val="BodyText"/>
      </w:pPr>
      <w:r>
        <w:t xml:space="preserve">Xie, T., Peng, W., Liu, Y., Yan, C., Maki, J., Degterev, A., Yuan, J., &amp; Shi, Y. (2013). Structural basis of RIP1 inhibition by necrostatins. Structure, 21, 493–499. https://doi.org/10.1016/j.str.2013.01.016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2025-06-25T18:05:10Z</dcterms:created>
  <dcterms:modified xsi:type="dcterms:W3CDTF">2025-06-25T18:05:10Z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