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Receptor-interacting serine/threonine-protein kinase 4 (RIPK4) belongs to the receptor-interacting protein kinase family (RIPK1-RIPK5) and retains the conserved N-terminal kinase domain that defines the group (Buyse, n.d.; Urwyler-Rösselet et al., 2023). Comparative phylogenetic analyses place RIPK4 (and RIPK5) on a distinct branch characterized by an eleven-ankyrin-repeat C-terminal region that is absent from RIPK1, RIPK2 and RIPK3 (Buyse, n.d.; Lv et al., 2022). Orthologues are present throughout vertebrates, consistent with an evolutionarily conserved role in epithelial and skin biology (Urwyler-Rösselet et al., 2023; Lv et al., 2022).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H⁺ + protein-O-phospho-Ser/Thr (Huang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ATP coordination and catalysis (Cuny &amp; Degterev,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RIPK4 phosphorylates serine/threonine residues on several keratinocyte proteins. Documented substrates include interferon regulatory factor 6 (Ser413, Ser424) and plakophilin-1, events that foster epidermal differentiation and cell adhesion (Buyse, n.d.; Kwa et al., 2014). Although a strict consensus motif is not defined, the kinase displays general Ser/Thr selectivity typical of the family (Chirieleison,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is modular: (i) an N-terminal catalytic kinase domain containing canonical catalytic motifs and an activation loop; (ii) a short intermediate segment with putative regulatory sites; and (iii) a C-terminal domain harbouring eleven ankyrin repeats that mediate protein-protein interactions (Chirieleison, 2016; Cuny &amp; Degterev, 2021). Full activation requires kinase-domain dimerisation, as demonstrated by structural and biochemical studies (Chirieleison, 2016). High-confidence AlphaFold models and crystallographic data of the kinase region support this architecture (Chirieleison, 2016).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and dimerisation are essential for maximal catalytic activity (Chirieleison, 2016; Cuny &amp; Degterev, 2021).</w:t>
      </w:r>
      <w:r>
        <w:br/>
      </w:r>
      <w:r>
        <w:t xml:space="preserve">• SCF^β-TrCP-mediated ubiquitination targets phosphorylated serines 379/382/383, controlling protein stability and cortical actin organisation (Tanghe et al., 2018).</w:t>
      </w:r>
      <w:r>
        <w:br/>
      </w:r>
      <w:r>
        <w:t xml:space="preserve">• Caspase-8 cleavage under apoptotic conditions disables NF-κB activation and shifts signalling towards cell death (Torre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RIPK4 is a key regulator of keratinocyte differentiation and epidermal homeostasis. As a TP63 transcriptional target, it phosphorylates substrates such as PKP1 and IRF6 to promote cell adhesion and stratification (Buyse, n.d.; Kwa et al., 2014). RIPK4 also activates NF-κB and can modulate Wnt/β-catenin signalling via Dishevelled phosphorylation (Huang et al., 2013). Expression is highest in epithelial tissues, particularly skin; loss in mice causes epidermal defects and perinatal lethality (Urwyler-Rösselet et al., 2023). Tumour-suppressive roles are reported in cutaneous squamous-cell carcinoma, where reduced RIPK4 correlates with tumour aggressiveness (Wolnicka-Głubisz et al.,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BRAF inhibitors vemurafenib and dabrafenib lower RIPK4 protein levels in melanoma cells, indicating an off-target down-regulatory effect (Madej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RIPK4 cause autosomal-recessive popliteal pterygium syndrome and Bartsocas-Papas syndrome (Kalay et al., 2012). RIPK4 interacts with keratin-14, potentially influencing filament turnover, without affecting heterodimer assembly (Sümer et al.,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Buyse, E. (n.d.). Investigating the PKCη–RIPK4 signalling axis in keratinocyte differentiation. Unpublished manuscript.</w:t>
      </w:r>
    </w:p>
    <w:p>
      <w:pPr>
        <w:pStyle w:val="BodyText"/>
      </w:pPr>
      <w:r>
        <w:t xml:space="preserve">Chirieleison, S. M. (2016). Synthetic biology reveals the uniqueness of the RIP kinase domain.</w:t>
      </w:r>
      <w:r>
        <w:t xml:space="preserve"> </w:t>
      </w:r>
      <w:r>
        <w:rPr>
          <w:i/>
          <w:iCs/>
        </w:rPr>
        <w:t xml:space="preserve">[Journal unknown]</w:t>
      </w:r>
      <w:r>
        <w:t xml:space="preserve">. https://doi.org/10.4291/43038</w:t>
      </w:r>
    </w:p>
    <w:p>
      <w:pPr>
        <w:pStyle w:val="BodyText"/>
      </w:pPr>
      <w:r>
        <w:t xml:space="preserve">Cuny, G. D., &amp; Degterev, A. (2021). RIPK protein kinase family: atypical lives of typical kinases.</w:t>
      </w:r>
      <w:r>
        <w:t xml:space="preserve"> </w:t>
      </w:r>
      <w:r>
        <w:rPr>
          <w:i/>
          <w:iCs/>
        </w:rPr>
        <w:t xml:space="preserve">Seminars in Cell &amp; Developmental Biology, 109</w:t>
      </w:r>
      <w:r>
        <w:t xml:space="preserve">, 96–105. https://doi.org/10.1016/j.semcdb.2020.06.014</w:t>
      </w:r>
    </w:p>
    <w:p>
      <w:pPr>
        <w:pStyle w:val="BodyText"/>
      </w:pPr>
      <w:r>
        <w:t xml:space="preserve">Huang, X. D., McGann, J. C., Liu, B. Y., et al. (2013). Phosphorylation of Dishevelled by protein kinase RIPK4 regulates Wnt signaling.</w:t>
      </w:r>
      <w:r>
        <w:t xml:space="preserve"> </w:t>
      </w:r>
      <w:r>
        <w:rPr>
          <w:i/>
          <w:iCs/>
        </w:rPr>
        <w:t xml:space="preserve">Science, 339</w:t>
      </w:r>
      <w:r>
        <w:t xml:space="preserve">, 1441–1445. https://doi.org/10.1126/science.1232253</w:t>
      </w:r>
    </w:p>
    <w:p>
      <w:pPr>
        <w:pStyle w:val="BodyText"/>
      </w:pPr>
      <w:r>
        <w:t xml:space="preserve">Kalay, E., Sezgin, O., Chellappa, V., et al. (2012). Mutations in RIPK4 cause the autosomal-recessive form of popliteal pterygium syndrome.</w:t>
      </w:r>
      <w:r>
        <w:t xml:space="preserve"> </w:t>
      </w:r>
      <w:r>
        <w:rPr>
          <w:i/>
          <w:iCs/>
        </w:rPr>
        <w:t xml:space="preserve">American Journal of Human Genetics, 90</w:t>
      </w:r>
      <w:r>
        <w:t xml:space="preserve">(1), 76–85. https://doi.org/10.1016/j.ajhg.2011.11.014</w:t>
      </w:r>
    </w:p>
    <w:p>
      <w:pPr>
        <w:pStyle w:val="BodyText"/>
      </w:pPr>
      <w:r>
        <w:t xml:space="preserve">Kwa, M. Q., Huynh, J., Aw, J., et al. (2014). Receptor-interacting protein kinase 4 and interferon regulatory factor 6 function as a signalling axis to regulate keratinocyte differentiation.</w:t>
      </w:r>
      <w:r>
        <w:t xml:space="preserve"> </w:t>
      </w:r>
      <w:r>
        <w:rPr>
          <w:i/>
          <w:iCs/>
        </w:rPr>
        <w:t xml:space="preserve">Journal of Biological Chemistry, 289</w:t>
      </w:r>
      <w:r>
        <w:t xml:space="preserve">, 31077–31087. https://doi.org/10.1074/jbc.M114.589382</w:t>
      </w:r>
    </w:p>
    <w:p>
      <w:pPr>
        <w:pStyle w:val="BodyText"/>
      </w:pPr>
      <w:r>
        <w:t xml:space="preserve">Lv, S., Jiang, Y., Li, Y., et al. (2022). Comparative and evolutionary analysis of RIP kinases in immune responses.</w:t>
      </w:r>
      <w:r>
        <w:t xml:space="preserve"> </w:t>
      </w:r>
      <w:r>
        <w:rPr>
          <w:i/>
          <w:iCs/>
        </w:rPr>
        <w:t xml:space="preserve">Frontiers in Genetics.</w:t>
      </w:r>
      <w:r>
        <w:t xml:space="preserve"> </w:t>
      </w:r>
      <w:r>
        <w:t xml:space="preserve">https://doi.org/10.3389/fgene.2022.796291</w:t>
      </w:r>
    </w:p>
    <w:p>
      <w:pPr>
        <w:pStyle w:val="BodyText"/>
      </w:pPr>
      <w:r>
        <w:t xml:space="preserve">Madej, E., Brożyna, A. A., Adamczyk, A., et al. (2023). Vemurafenib and dabrafenib downregulate RIPK4 level.</w:t>
      </w:r>
      <w:r>
        <w:t xml:space="preserve"> </w:t>
      </w:r>
      <w:r>
        <w:rPr>
          <w:i/>
          <w:iCs/>
        </w:rPr>
        <w:t xml:space="preserve">Cancers, 15</w:t>
      </w:r>
      <w:r>
        <w:t xml:space="preserve">(3), 918. https://doi.org/10.3390/cancers15030918</w:t>
      </w:r>
    </w:p>
    <w:p>
      <w:pPr>
        <w:pStyle w:val="BodyText"/>
      </w:pPr>
      <w:r>
        <w:t xml:space="preserve">Sümer, C., Boz Er, A. B., &amp; Dinçer, T. (2019). Keratin 14 is a novel interaction partner of keratinocyte differentiation regulator RIPK4.</w:t>
      </w:r>
      <w:r>
        <w:t xml:space="preserve"> </w:t>
      </w:r>
      <w:r>
        <w:rPr>
          <w:i/>
          <w:iCs/>
        </w:rPr>
        <w:t xml:space="preserve">Turkish Journal of Biology, 43</w:t>
      </w:r>
      <w:r>
        <w:t xml:space="preserve">, 225–234. https://doi.org/10.3906/biy-1904-37</w:t>
      </w:r>
    </w:p>
    <w:p>
      <w:pPr>
        <w:pStyle w:val="BodyText"/>
      </w:pPr>
      <w:r>
        <w:t xml:space="preserve">Tanghe, G., Urwyler-Rösselet, C., De Groote, P., et al. (2018). RIPK4 activity in keratinocytes is controlled by the SCFβ-TrCP ubiquitin ligase to maintain cortical actin organisation.</w:t>
      </w:r>
      <w:r>
        <w:t xml:space="preserve"> </w:t>
      </w:r>
      <w:r>
        <w:rPr>
          <w:i/>
          <w:iCs/>
        </w:rPr>
        <w:t xml:space="preserve">Cellular and Molecular Life Sciences, 75</w:t>
      </w:r>
      <w:r>
        <w:t xml:space="preserve">, 2827–2841. https://doi.org/10.1007/s00018-018-2763-6</w:t>
      </w:r>
    </w:p>
    <w:p>
      <w:pPr>
        <w:pStyle w:val="BodyText"/>
      </w:pPr>
      <w:r>
        <w:t xml:space="preserve">Torre, L. D., Nebbioso, A., Stunnenberg, H. G., et al. (2021). The role of necroptosis: biological relevance and its involvement in cancer.</w:t>
      </w:r>
      <w:r>
        <w:t xml:space="preserve"> </w:t>
      </w:r>
      <w:r>
        <w:rPr>
          <w:i/>
          <w:iCs/>
        </w:rPr>
        <w:t xml:space="preserve">Cancers, 13</w:t>
      </w:r>
      <w:r>
        <w:t xml:space="preserve">(4), 684. https://doi.org/10.3390/cancers13040684</w:t>
      </w:r>
    </w:p>
    <w:p>
      <w:pPr>
        <w:pStyle w:val="BodyText"/>
      </w:pPr>
      <w:r>
        <w:t xml:space="preserve">Urwyler-Rösselet, C., Tanghe, G., Devos, M., et al. (2023). Functions of the RIP kinase family members in the skin.</w:t>
      </w:r>
      <w:r>
        <w:t xml:space="preserve"> </w:t>
      </w:r>
      <w:r>
        <w:rPr>
          <w:i/>
          <w:iCs/>
        </w:rPr>
        <w:t xml:space="preserve">Cellular and Molecular Life Sciences.</w:t>
      </w:r>
      <w:r>
        <w:t xml:space="preserve"> </w:t>
      </w:r>
      <w:r>
        <w:t xml:space="preserve">https://doi.org/10.1007/s00018-023-04917-2</w:t>
      </w:r>
    </w:p>
    <w:p>
      <w:pPr>
        <w:pStyle w:val="BodyText"/>
      </w:pPr>
      <w:r>
        <w:t xml:space="preserve">Wolnicka-Głubisz, A., Madej, E., &amp; Lisek, A. (2021). Rola białka RIPK4 w fizjologii naskórka.</w:t>
      </w:r>
      <w:r>
        <w:t xml:space="preserve"> </w:t>
      </w:r>
      <w:r>
        <w:rPr>
          <w:i/>
          <w:iCs/>
        </w:rPr>
        <w:t xml:space="preserve">Postępy Biochemii, 67</w:t>
      </w:r>
      <w:r>
        <w:t xml:space="preserve">(1), 64–71. https://doi.org/10.18388/pb.2021_370</w:t>
      </w:r>
    </w:p>
    <w:p>
      <w:pPr>
        <w:pStyle w:val="BodyText"/>
      </w:pPr>
      <w:r>
        <w:t xml:space="preserve">Fransen, M. (2011). Exploring the role of caspases and RIPK4 during Xenopus development.</w:t>
      </w:r>
      <w:r>
        <w:t xml:space="preserve"> </w:t>
      </w:r>
      <w:r>
        <w:rPr>
          <w:i/>
          <w:iCs/>
        </w:rPr>
        <w:t xml:space="preserve">[Journal unknown]</w:t>
      </w:r>
      <w:r>
        <w:t xml:space="preserve">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2025-06-25T17:52:32Z</dcterms:created>
  <dcterms:modified xsi:type="dcterms:W3CDTF">2025-06-25T17:52:32Z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