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Cyclin-dependent kinase 20 (CDK20, a.k.a. CCRK or CDCH) belongs to the serine/threonine protein-kinase family of CDKs and is evolutionarily conserved from yeast to mammals, including amphibians, fish, rodents and Old-World monkeys (Cheung &amp; Lin, 2011; Guo &amp; Stiller, 2004; Malumbres, 2014). It shares ~43 % sequence identity with CDK7, grouping it with CDKs that control both cell-cycle progression and transcription (Lai, Shin, &amp; Qiu, 2020; Malumbres et al., 2009).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protein-Ser/Thr-OH ⇌ ADP + protein-Ser/Thr-O-PO₃²⁻ + H⁺</w:t>
      </w:r>
      <w:r>
        <w:br/>
      </w:r>
      <w:r>
        <w:t xml:space="preserve">A key physiological reaction is phosphorylation of CDK2 on Thr160 within its activation loop (Tian, Wan, &amp; Tan, 2012; Cheung &amp; Lin, 2011).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Mg²⁺ is required for catalytic activity and proper ATP positioning (Tian et al., 2012; Malumbres, 2014).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CDK20 efficiently phosphorylates CDK2-Thr160, a modification essential for CDK2 activation and G1→S transition (Cheung &amp; Lin, 2011; Tian et al., 2012). Additional reported targets include MAK-related kinase (MRK/ICK) and other cell-cycle or cilia-associated proteins, but a definitive consensus motif remains undefined (Fu et al., 2006; Lai et al., 2020).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The 346-residue (~42 kDa) kinase contains the conserved bilobal CDK core (residues 4–288), with a glycine-rich loop in the N-lobe and an activation segment in the C-lobe that includes the regulatory Thr160 (Cheung &amp; Lin, 2011; Tian et al., 2012). Eleven canonical kinase subdomains, the catalytic lysine, and the C-helix are present (Lai et al., 2020; Wohlbold et al., 2006). At least four splice variants exist, including a cardiac-specific isoform with reduced CDK2-activating capacity (Lai et al., 2020). No experimental crystal structure is yet available; homology models are based on CDK7 and CDK2 templates (Wood &amp; Endicott, 2018; Endicott &amp; Noble, 2013).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Activity is modulated by multiple mechanisms:</w:t>
      </w:r>
      <w:r>
        <w:br/>
      </w:r>
      <w:r>
        <w:t xml:space="preserve">• Phosphorylation of its substrates (e.g., CDK2-Thr160) is pivotal for downstream cell-cycle control (Tian et al., 2012).</w:t>
      </w:r>
      <w:r>
        <w:br/>
      </w:r>
      <w:r>
        <w:t xml:space="preserve">• Alternative splicing yields isoforms with distinct activation potentials (Lai et al., 2020; Wohlbold et al., 2006).</w:t>
      </w:r>
      <w:r>
        <w:br/>
      </w:r>
      <w:r>
        <w:t xml:space="preserve">• Promoter CpG hyper-methylation correlates with elevated expression in adult brain cortex (Cheung &amp; Lin, 2011).</w:t>
      </w:r>
      <w:r>
        <w:br/>
      </w:r>
      <w:r>
        <w:t xml:space="preserve">• Protein–protein interactions with cyclins and other regulators appear necessary because CDK20 lacks strong intrinsic CAK activity and may require co-regulators for full function (Wohlbold et al., 2006; Tian et al., 2012).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CDK20 activates CDK2 to drive the G1/S transition (Cheung &amp; Lin, 2011; Tian et al., 2012). Beyond proliferation, it is crucial for Sonic Hedgehog signalling during neural-tube development by coordinating primary-cilium assembly with TBC1D32, enabling GLI2 activation (Lai et al., 2020; Tian et al., 2012). High expression is observed in brain, kidney, liver, heart and placenta (Cheung &amp; Lin, 2011; Lai et al., 2020). Over-expression is reported in glioblastoma, ovarian and colorectal cancers, linking CDK20 dysregulation to tumorigenesis (Cheung &amp; Lin, 2011; Tian et al., 2012).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Small-molecule inhibitor RGB-286147 suppresses cell proliferation by targeting CDK20-dependent signalling (Cheung &amp; Lin, 2011; Tian et al., 2012).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Multiple splice variants, including a cardiac-specific form that poorly activates CDK2, underscore functional diversity (Lai et al., 2020; Wohlbold et al., 2006). While disease-linked mutations are not yet defined, CDK20 over-expression consistently associates with aggressive tumour phenotypes. Ongoing studies aim to map its substrate repertoire and develop selective inhibitors (Cheung &amp; Lin, 2011; Guo &amp; Stiller, 2004).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Cheung, W., &amp; Lin, M. (2011). Ccrk (cell cycle related kinase). Atlas of Genetics and Cytogenetics in Oncology and Haematology. https://doi.org/10.4267/2042/44769</w:t>
      </w:r>
    </w:p>
    <w:p>
      <w:pPr>
        <w:pStyle w:val="BodyText"/>
      </w:pPr>
      <w:r>
        <w:t xml:space="preserve">Endicott, J. A., &amp; Noble, M. E. M. (2013). Structural characterization of the cyclin-dependent protein kinase family. Biochemical Society Transactions, 41(4), 1008–1016. https://doi.org/10.1042/BST20130097</w:t>
      </w:r>
    </w:p>
    <w:p>
      <w:pPr>
        <w:pStyle w:val="BodyText"/>
      </w:pPr>
      <w:r>
        <w:t xml:space="preserve">Fu, Z., Larson, K. A., Chitta, R. K., Parker, S. A., Turk, B. E., Lawrence, M. W., … Sturgill, T. W. (2006). Identification of yin-yang regulators and a phosphorylation consensus for male germ cell-associated kinase (MAK)-related kinase. Molecular and Cellular Biology, 26, 8639–8654. https://doi.org/10.1128/MCB.00816-06</w:t>
      </w:r>
    </w:p>
    <w:p>
      <w:pPr>
        <w:pStyle w:val="BodyText"/>
      </w:pPr>
      <w:r>
        <w:t xml:space="preserve">Guo, Z., &amp; Stiller, J. W. (2004). Comparative genomics of cyclin-dependent kinases suggest co-evolution of the RNA-polymerase II C-terminal domain and CTD-directed CDKs. BMC Genomics, 5, 69. https://doi.org/10.1186/1471-2164-5-69</w:t>
      </w:r>
    </w:p>
    <w:p>
      <w:pPr>
        <w:pStyle w:val="BodyText"/>
      </w:pPr>
      <w:r>
        <w:t xml:space="preserve">Lai, L., Shin, G. Y., &amp; Qiu, H. (2020). The role of cell cycle regulators in cell survival—Dual functions of cyclin-dependent kinase 20 and p21 Cip1/Waf1. International Journal of Molecular Sciences, 21, 8504. https://doi.org/10.3390/ijms21228504</w:t>
      </w:r>
    </w:p>
    <w:p>
      <w:pPr>
        <w:pStyle w:val="BodyText"/>
      </w:pPr>
      <w:r>
        <w:t xml:space="preserve">Malumbres, M. (2014). Cyclin-dependent kinases. Genome Biology, 15, 122. https://doi.org/10.1186/gb-2014-15-6-122</w:t>
      </w:r>
    </w:p>
    <w:p>
      <w:pPr>
        <w:pStyle w:val="BodyText"/>
      </w:pPr>
      <w:r>
        <w:t xml:space="preserve">Malumbres, M., Harlow, E., Hunt, T., Hunter, T., Lahti, J. M., Manning, G., … Wolgemuth, D. J. (2009). Cyclin-dependent kinases: A family portrait. Nature Cell Biology, 11, 1275–1276. https://doi.org/10.1038/ncb1109-1275</w:t>
      </w:r>
    </w:p>
    <w:p>
      <w:pPr>
        <w:pStyle w:val="BodyText"/>
      </w:pPr>
      <w:r>
        <w:t xml:space="preserve">Tian, Y., Wan, H., &amp; Tan, G. (2012). Cell cycle-related kinase in carcinogenesis. Oncology Letters, 4(4), 601–606. https://doi.org/10.3892/ol.2012.828</w:t>
      </w:r>
    </w:p>
    <w:p>
      <w:pPr>
        <w:pStyle w:val="BodyText"/>
      </w:pPr>
      <w:r>
        <w:t xml:space="preserve">Wohlbold, L., Larochelle, S., Liao, J. C.-F., Livshits, G., Singer, J., Shokat, K. M., &amp; Fisher, R. P. (2006). The cyclin-dependent kinase family member PNQALRE/CCRK supports cell proliferation but has no intrinsic CDK-activating kinase activity. Cell Cycle, 5, 546–554. https://doi.org/10.4161/cc.5.5.2541</w:t>
      </w:r>
    </w:p>
    <w:p>
      <w:pPr>
        <w:pStyle w:val="BodyText"/>
      </w:pPr>
      <w:r>
        <w:t xml:space="preserve">Wood, D. J., &amp; Endicott, J. A. (2018). Structural insights into the functional diversity of the CDK–cyclin family. Open Biology, 8(10), 180112. https://doi.org/10.1098/rsob.180112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2025-06-25T18:57:50Z</dcterms:created>
  <dcterms:modified xsi:type="dcterms:W3CDTF">2025-06-25T18:57:50Z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