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MAPK1 (ERK2) is a conventional mitogen-activated protein kinase within the CMGC group. Orthologs occur throughout eukaryotes—including metazoans, fungi and plants—highlighting deep evolutionary conservation (Kültz, 1998; Ligterink &amp; Hirt, 2001). In vertebrates, ERK2 and its paralog ERK1 (MAPK3) arose from an ancestral duplication; knockout studies show that ERK2 is frequently essential for embryogenesis and cell viability, indicating non-redundant functions (Cargnello &amp; Roux, 2011; Buscà et al., 2016).</w:t>
      </w:r>
    </w:p>
    <w:bookmarkEnd w:id="9"/>
    <w:bookmarkStart w:id="10" w:name="reaction-catalyzed"/>
    <w:p>
      <w:pPr>
        <w:pStyle w:val="Heading2"/>
      </w:pPr>
      <w:r>
        <w:t xml:space="preserve">Reaction Catalyzed</w:t>
      </w:r>
    </w:p>
    <w:p>
      <w:pPr>
        <w:pStyle w:val="FirstParagraph"/>
      </w:pPr>
      <w:r>
        <w:t xml:space="preserve">ATP + L-seryl/threonyl-[protein] ⇌ ADP + H⁺ + O-phospho-L-seryl/threonyl-[protein] (Cargnello &amp; Roux, 2011)</w:t>
      </w:r>
    </w:p>
    <w:bookmarkEnd w:id="10"/>
    <w:bookmarkStart w:id="11" w:name="cofactor-requirements"/>
    <w:p>
      <w:pPr>
        <w:pStyle w:val="Heading2"/>
      </w:pPr>
      <w:r>
        <w:t xml:space="preserve">Cofactor Requirements</w:t>
      </w:r>
    </w:p>
    <w:p>
      <w:pPr>
        <w:pStyle w:val="FirstParagraph"/>
      </w:pPr>
      <w:r>
        <w:t xml:space="preserve">Mg²⁺ is required for catalytic activity (Kültz, 1998).</w:t>
      </w:r>
    </w:p>
    <w:bookmarkEnd w:id="11"/>
    <w:bookmarkStart w:id="12" w:name="substrate-specificity"/>
    <w:p>
      <w:pPr>
        <w:pStyle w:val="Heading2"/>
      </w:pPr>
      <w:r>
        <w:t xml:space="preserve">Substrate Specificity</w:t>
      </w:r>
    </w:p>
    <w:p>
      <w:pPr>
        <w:pStyle w:val="FirstParagraph"/>
      </w:pPr>
      <w:r>
        <w:t xml:space="preserve">ERK2 is a proline-directed Ser/Thr kinase that prefers motifs in which the phosphorylated Ser/Thr is immediately followed by Pro ([S/T]-P). High-affinity recognition is further refined through docking interactions between substrate D-domains or DEF motifs and complementary grooves on the kinase (Cargnello &amp; Roux, 2011; Roux &amp; Blenis, 2004; Martin-Vega &amp; Cobb, 2023).</w:t>
      </w:r>
    </w:p>
    <w:bookmarkEnd w:id="12"/>
    <w:bookmarkStart w:id="13" w:name="structure"/>
    <w:p>
      <w:pPr>
        <w:pStyle w:val="Heading2"/>
      </w:pPr>
      <w:r>
        <w:t xml:space="preserve">Structure</w:t>
      </w:r>
    </w:p>
    <w:p>
      <w:pPr>
        <w:pStyle w:val="FirstParagraph"/>
      </w:pPr>
      <w:r>
        <w:t xml:space="preserve">The protein adopts the canonical bilobed kinase fold: a β-strand-rich N-lobe containing the glycine-rich loop and an α-helical C-lobe bearing the catalytic loop. The activation segment harbours the conserved TEY motif whose dual phosphorylation is obligatory for full activation. A C-terminal common docking (CD) domain mediates binding to substrates, activators and phosphatases. Additional structural elements, including the hydrophobic spine and properly positioned C-helix, stabilise the active state (Kültz, 1998; Meister et al., 2013; Martin-Vega &amp; Cobb, 2023).</w:t>
      </w:r>
    </w:p>
    <w:bookmarkEnd w:id="13"/>
    <w:bookmarkStart w:id="14" w:name="regulation"/>
    <w:p>
      <w:pPr>
        <w:pStyle w:val="Heading2"/>
      </w:pPr>
      <w:r>
        <w:t xml:space="preserve">Regulation</w:t>
      </w:r>
    </w:p>
    <w:p>
      <w:pPr>
        <w:pStyle w:val="FirstParagraph"/>
      </w:pPr>
      <w:r>
        <w:t xml:space="preserve">Activation is achieved by MEK1/2-mediated dual phosphorylation of the TEY motif, which induces conformational changes that align catalytic residues. Activity is attenuated by dual-specificity phosphatases (e.g., DUSP6) that remove both phosphates. Scaffold proteins govern spatial and temporal signalling by localising ERK2 with upstream kinases or substrates, while feedback phosphorylation of pathway components fine-tunes signal strength (Cargnello &amp; Roux, 2011; Buscà et al., 2016; Theodosiou &amp; Ashworth, 2002).</w:t>
      </w:r>
    </w:p>
    <w:bookmarkEnd w:id="14"/>
    <w:bookmarkStart w:id="15" w:name="function"/>
    <w:p>
      <w:pPr>
        <w:pStyle w:val="Heading2"/>
      </w:pPr>
      <w:r>
        <w:t xml:space="preserve">Function</w:t>
      </w:r>
    </w:p>
    <w:p>
      <w:pPr>
        <w:pStyle w:val="FirstParagraph"/>
      </w:pPr>
      <w:r>
        <w:t xml:space="preserve">ERK2 is a central node of the MAPK/ERK cascade and is ubiquitously expressed. It phosphorylates numerous targets, including transcription factors (ATF2, ELK1, FOS), cytoskeletal proteins, regulators of apoptosis and translational machinery, thereby influencing cell growth, adhesion, survival and differentiation. ERK2 also controls cell-cycle progression during meiosis and mitosis and modulates post-mitotic functions in differentiated cells. Signalling initiated by receptor tyrosine kinases such as KIT prominently engages ERK2 (Cargnello &amp; Roux, 2011; Dickinson &amp; Keyse, 2006; Martin-Vega &amp; Cobb, 2023).</w:t>
      </w:r>
    </w:p>
    <w:bookmarkEnd w:id="15"/>
    <w:bookmarkStart w:id="16" w:name="inhibitors"/>
    <w:p>
      <w:pPr>
        <w:pStyle w:val="Heading2"/>
      </w:pPr>
      <w:r>
        <w:t xml:space="preserve">Inhibitors</w:t>
      </w:r>
    </w:p>
    <w:p>
      <w:pPr>
        <w:pStyle w:val="FirstParagraph"/>
      </w:pPr>
      <w:r>
        <w:t xml:space="preserve">Clinical MEK inhibitors (e.g., PD184352, PD0325901) indirectly suppress ERK2 activity, and efforts to develop direct ERK2 inhibitors are ongoing (Roux &amp; Blenis, 2004; Buscà et al., 2016).</w:t>
      </w:r>
    </w:p>
    <w:bookmarkEnd w:id="16"/>
    <w:bookmarkStart w:id="17" w:name="other-comments"/>
    <w:p>
      <w:pPr>
        <w:pStyle w:val="Heading2"/>
      </w:pPr>
      <w:r>
        <w:t xml:space="preserve">Other Comments</w:t>
      </w:r>
    </w:p>
    <w:p>
      <w:pPr>
        <w:pStyle w:val="FirstParagraph"/>
      </w:pPr>
      <w:r>
        <w:t xml:space="preserve">Constitutive ERK2 activation—often due to mutations in upstream Ras or Raf—or mutations in docking interfaces is linked to diverse cancers and developmental disorders. More than 160 substrates have been catalogued, underscoring both the breadth of ERK2 signalling and its potential as a therapeutic target (Roux &amp; Blenis, 2004; Buscà et al., 2016).</w:t>
      </w:r>
    </w:p>
    <w:bookmarkEnd w:id="17"/>
    <w:bookmarkStart w:id="18" w:name="references"/>
    <w:p>
      <w:pPr>
        <w:pStyle w:val="Heading2"/>
      </w:pPr>
      <w:r>
        <w:t xml:space="preserve">References</w:t>
      </w:r>
    </w:p>
    <w:p>
      <w:pPr>
        <w:pStyle w:val="FirstParagraph"/>
      </w:pPr>
      <w:r>
        <w:t xml:space="preserve">Buscà, R., Pouysségur, J., &amp; Lenormand, P. (2016). ERK1 and ERK2 MAP kinases: Specific roles or functional redundancy?</w:t>
      </w:r>
      <w:r>
        <w:t xml:space="preserve"> </w:t>
      </w:r>
      <w:r>
        <w:rPr>
          <w:i/>
          <w:iCs/>
        </w:rPr>
        <w:t xml:space="preserve">Frontiers in Cell and Developmental Biology, 4</w:t>
      </w:r>
      <w:r>
        <w:t xml:space="preserve">, 53. https://doi.org/10.3389/fcell.2016.00053</w:t>
      </w:r>
    </w:p>
    <w:p>
      <w:pPr>
        <w:pStyle w:val="BodyText"/>
      </w:pPr>
      <w:r>
        <w:t xml:space="preserve">Cargnello, M., &amp; Roux, P. P. (2011). Activation and function of the MAPKs and their substrates, the MAPK-activated protein kinases.</w:t>
      </w:r>
      <w:r>
        <w:t xml:space="preserve"> </w:t>
      </w:r>
      <w:r>
        <w:rPr>
          <w:i/>
          <w:iCs/>
        </w:rPr>
        <w:t xml:space="preserve">Microbiology and Molecular Biology Reviews, 75</w:t>
      </w:r>
      <w:r>
        <w:t xml:space="preserve">, 50–83. https://doi.org/10.1128/MMBR.00031-10</w:t>
      </w:r>
    </w:p>
    <w:p>
      <w:pPr>
        <w:pStyle w:val="BodyText"/>
      </w:pPr>
      <w:r>
        <w:t xml:space="preserve">Dickinson, R. J., &amp; Keyse, S. M. (2006). Diverse physiological functions for dual-specificity MAP kinase phosphatases.</w:t>
      </w:r>
      <w:r>
        <w:t xml:space="preserve"> </w:t>
      </w:r>
      <w:r>
        <w:rPr>
          <w:i/>
          <w:iCs/>
        </w:rPr>
        <w:t xml:space="preserve">Journal of Cell Science, 119</w:t>
      </w:r>
      <w:r>
        <w:t xml:space="preserve">, 4607–4615. https://doi.org/10.1242/jcs.03266</w:t>
      </w:r>
    </w:p>
    <w:p>
      <w:pPr>
        <w:pStyle w:val="BodyText"/>
      </w:pPr>
      <w:r>
        <w:t xml:space="preserve">Kültz, D. (1998). Phylogenetic and functional classification of mitogen- and stress-activated protein kinases.</w:t>
      </w:r>
      <w:r>
        <w:t xml:space="preserve"> </w:t>
      </w:r>
      <w:r>
        <w:rPr>
          <w:i/>
          <w:iCs/>
        </w:rPr>
        <w:t xml:space="preserve">Journal of Molecular Evolution, 46</w:t>
      </w:r>
      <w:r>
        <w:t xml:space="preserve">, 571–588. https://doi.org/10.1007/PL00006338</w:t>
      </w:r>
    </w:p>
    <w:p>
      <w:pPr>
        <w:pStyle w:val="BodyText"/>
      </w:pPr>
      <w:r>
        <w:t xml:space="preserve">Ligterink, W., &amp; Hirt, H. (2001). Mitogen-activated protein (MAP) kinase pathways in plants: Versatile signaling tools.</w:t>
      </w:r>
      <w:r>
        <w:t xml:space="preserve"> </w:t>
      </w:r>
      <w:r>
        <w:rPr>
          <w:i/>
          <w:iCs/>
        </w:rPr>
        <w:t xml:space="preserve">International Review of Cytology</w:t>
      </w:r>
      <w:r>
        <w:t xml:space="preserve">, 209–275. https://doi.org/10.1016/S0074-7696(01)01004-X</w:t>
      </w:r>
    </w:p>
    <w:p>
      <w:pPr>
        <w:pStyle w:val="BodyText"/>
      </w:pPr>
      <w:r>
        <w:t xml:space="preserve">Martin-Vega, A., &amp; Cobb, M. H. (2023). Navigating the ERK1/2 MAPK cascade.</w:t>
      </w:r>
      <w:r>
        <w:t xml:space="preserve"> </w:t>
      </w:r>
      <w:r>
        <w:rPr>
          <w:i/>
          <w:iCs/>
        </w:rPr>
        <w:t xml:space="preserve">Biomolecules, 13</w:t>
      </w:r>
      <w:r>
        <w:t xml:space="preserve">, 1555. https://doi.org/10.3390/biom13101555</w:t>
      </w:r>
    </w:p>
    <w:p>
      <w:pPr>
        <w:pStyle w:val="BodyText"/>
      </w:pPr>
      <w:r>
        <w:t xml:space="preserve">Meister, M., Tomasovic, A., Banning, A., &amp; Tikkanen, R. (2013). Mitogen-activated protein (MAP) kinase scaffolding proteins: A recount.</w:t>
      </w:r>
      <w:r>
        <w:t xml:space="preserve"> </w:t>
      </w:r>
      <w:r>
        <w:rPr>
          <w:i/>
          <w:iCs/>
        </w:rPr>
        <w:t xml:space="preserve">International Journal of Molecular Sciences, 14</w:t>
      </w:r>
      <w:r>
        <w:t xml:space="preserve">, 4854–4884. https://doi.org/10.3390/ijms14034854</w:t>
      </w:r>
    </w:p>
    <w:p>
      <w:pPr>
        <w:pStyle w:val="BodyText"/>
      </w:pPr>
      <w:r>
        <w:t xml:space="preserve">Roux, P. P., &amp; Blenis, J. (2004). ERK and p38 MAPK-activated protein kinases: A family of protein kinases with diverse biological functions.</w:t>
      </w:r>
      <w:r>
        <w:t xml:space="preserve"> </w:t>
      </w:r>
      <w:r>
        <w:rPr>
          <w:i/>
          <w:iCs/>
        </w:rPr>
        <w:t xml:space="preserve">Microbiology and Molecular Biology Reviews, 68</w:t>
      </w:r>
      <w:r>
        <w:t xml:space="preserve">, 320–344. https://doi.org/10.1128/MMBR.68.2.320-344.2004</w:t>
      </w:r>
    </w:p>
    <w:p>
      <w:pPr>
        <w:pStyle w:val="BodyText"/>
      </w:pPr>
      <w:r>
        <w:t xml:space="preserve">Theodosiou, A., &amp; Ashworth, A. (2002). MAP kinase phosphatases.</w:t>
      </w:r>
      <w:r>
        <w:t xml:space="preserve"> </w:t>
      </w:r>
      <w:r>
        <w:rPr>
          <w:i/>
          <w:iCs/>
        </w:rPr>
        <w:t xml:space="preserve">Genome Biology, 3</w:t>
      </w:r>
      <w:r>
        <w:t xml:space="preserve">, reviews3009.1-reviews3009.10. https://doi.org/10.1186/gb-2002-3-7-reviews3009</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2025-06-25T18:08:55Z</dcterms:created>
  <dcterms:modified xsi:type="dcterms:W3CDTF">2025-06-25T18:08:55Z</dcterms:modified>
</cp:coreProperties>
</file>

<file path=docProps/custom.xml><?xml version="1.0" encoding="utf-8"?>
<Properties xmlns="http://schemas.openxmlformats.org/officeDocument/2006/custom-properties" xmlns:vt="http://schemas.openxmlformats.org/officeDocument/2006/docPropsVTypes"/>
</file>